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4F" w:rsidRPr="00EB7E4F" w:rsidRDefault="00EB7E4F" w:rsidP="00EB7E4F">
      <w:pPr>
        <w:pStyle w:val="a3"/>
        <w:contextualSpacing/>
        <w:jc w:val="center"/>
        <w:rPr>
          <w:b/>
        </w:rPr>
      </w:pPr>
      <w:r w:rsidRPr="00EB7E4F">
        <w:rPr>
          <w:b/>
        </w:rPr>
        <w:t>Порядок предоставления имущества субъектам малого и среднего предпринимательства</w:t>
      </w:r>
    </w:p>
    <w:p w:rsidR="00EB7E4F" w:rsidRDefault="00EB7E4F" w:rsidP="00EB7E4F">
      <w:pPr>
        <w:pStyle w:val="a3"/>
        <w:contextualSpacing/>
        <w:jc w:val="center"/>
      </w:pPr>
    </w:p>
    <w:p w:rsidR="00EB7E4F" w:rsidRPr="00EB7E4F" w:rsidRDefault="00EB7E4F" w:rsidP="00EB7E4F">
      <w:pPr>
        <w:pStyle w:val="a3"/>
        <w:contextualSpacing/>
        <w:jc w:val="both"/>
      </w:pPr>
      <w:r w:rsidRPr="00EB7E4F">
        <w:t>Муниципальное имущество предоставляется только по результатам проведения торгов (аукциона), за исключением случаев, предусмотренных Федеральным законом от 26.07.2006 № 135-ФЗ «О защите конкуренции».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Информация о проводимых торгах размещается на официальном сайте РФ для размещения информации о проведении торгов: </w:t>
      </w:r>
      <w:hyperlink r:id="rId4" w:history="1">
        <w:r w:rsidRPr="00EB7E4F">
          <w:rPr>
            <w:rStyle w:val="a4"/>
          </w:rPr>
          <w:t>https://torgi.gov.ru/new/public</w:t>
        </w:r>
      </w:hyperlink>
      <w:r w:rsidRPr="00EB7E4F">
        <w:t>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 xml:space="preserve">Предоставление муниципального имущества Курского района Курской  области субъектам малого и среднего предпринимательства (далее – МСП) и </w:t>
      </w:r>
      <w:proofErr w:type="spellStart"/>
      <w:r w:rsidRPr="00EB7E4F">
        <w:t>самозанятым</w:t>
      </w:r>
      <w:proofErr w:type="spellEnd"/>
      <w:r w:rsidRPr="00EB7E4F">
        <w:t xml:space="preserve"> гражданам в аренду осуществляется посредством проведения аукционов для данных категорий арендаторов.</w:t>
      </w:r>
    </w:p>
    <w:p w:rsidR="00EB7E4F" w:rsidRPr="00EB7E4F" w:rsidRDefault="00EB7E4F" w:rsidP="00EB7E4F">
      <w:pPr>
        <w:pStyle w:val="a3"/>
        <w:contextualSpacing/>
        <w:jc w:val="both"/>
      </w:pPr>
      <w:proofErr w:type="gramStart"/>
      <w:r w:rsidRPr="00EB7E4F">
        <w:t>Участниками специализированного аукциона могут являться только субъекты МСП, внесенные в Единый реестр субъектов МСП Налоговой службой Российской Федерации и физические лица, применяющие специальный налоговый режим «Налог на профессиональный доход» (</w:t>
      </w:r>
      <w:proofErr w:type="spellStart"/>
      <w:r w:rsidRPr="00EB7E4F">
        <w:t>самозанятые</w:t>
      </w:r>
      <w:proofErr w:type="spellEnd"/>
      <w:r w:rsidRPr="00EB7E4F">
        <w:t>),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Федерации».</w:t>
      </w:r>
      <w:proofErr w:type="gramEnd"/>
    </w:p>
    <w:p w:rsidR="00EB7E4F" w:rsidRPr="00EB7E4F" w:rsidRDefault="00EB7E4F" w:rsidP="00EB7E4F">
      <w:pPr>
        <w:pStyle w:val="a3"/>
        <w:contextualSpacing/>
        <w:jc w:val="both"/>
      </w:pPr>
      <w:r w:rsidRPr="00EB7E4F">
        <w:t>Проверить являетесь ли Вы субъектом МСП можно на официальном сайте налоговой, перейдя по ссылке: </w:t>
      </w:r>
      <w:hyperlink r:id="rId5" w:history="1">
        <w:r w:rsidRPr="00EB7E4F">
          <w:rPr>
            <w:rStyle w:val="a4"/>
          </w:rPr>
          <w:t>https://ofd.nalog.ru/</w:t>
        </w:r>
      </w:hyperlink>
      <w:r w:rsidRPr="00EB7E4F">
        <w:t>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 </w:t>
      </w:r>
      <w:r w:rsidRPr="00EB7E4F">
        <w:rPr>
          <w:rStyle w:val="a5"/>
        </w:rPr>
        <w:t>Порядок предоставления имущества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rPr>
          <w:rStyle w:val="a5"/>
        </w:rPr>
        <w:t> 1. Выбор объекта аренды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 xml:space="preserve">Перечень объектов, возможных к предоставлению в аренду субъектам МСП и </w:t>
      </w:r>
      <w:proofErr w:type="spellStart"/>
      <w:r w:rsidRPr="00EB7E4F">
        <w:t>самозанятым</w:t>
      </w:r>
      <w:proofErr w:type="spellEnd"/>
      <w:r w:rsidRPr="00EB7E4F">
        <w:t xml:space="preserve"> гражданам, размещен на официальном сайте Администрации Курского района Курской области (далее – Администрация) (http://kurskr.rkursk.ru/).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rPr>
          <w:rStyle w:val="a5"/>
        </w:rPr>
        <w:t>2.  Инициирование процедуры предоставления в аренду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 xml:space="preserve">В случае заинтересованности в каком-либо объекте из Перечня заявитель обращается </w:t>
      </w:r>
      <w:proofErr w:type="gramStart"/>
      <w:r w:rsidRPr="00EB7E4F">
        <w:t>в Администрацию с заявлением о предоставлении его в аренду с указанием</w:t>
      </w:r>
      <w:proofErr w:type="gramEnd"/>
      <w:r w:rsidRPr="00EB7E4F">
        <w:t xml:space="preserve"> адреса объекта, а также цели его использования.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На основании заявления Администрация проводит следующие мероприятия: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- проведение рыночной оценки стоимости объекта аренды;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- подготовка распоряжения о проведении торгов, разработка аукционной документации;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- опубликование на официальном сайте РФ в сети Интернет для размещения информации о проведении конкурсов или аукционов (</w:t>
      </w:r>
      <w:hyperlink r:id="rId6" w:history="1">
        <w:r w:rsidRPr="00EB7E4F">
          <w:rPr>
            <w:rStyle w:val="a4"/>
          </w:rPr>
          <w:t>www.torgi.gov.ru</w:t>
        </w:r>
      </w:hyperlink>
      <w:r w:rsidRPr="00EB7E4F">
        <w:t xml:space="preserve">), на сайте электронной площадки, указанной в информационном сообщении, на официальном сайте Администрации  информации о проведении аукциона, аукционной документации и </w:t>
      </w:r>
      <w:proofErr w:type="gramStart"/>
      <w:r w:rsidRPr="00EB7E4F">
        <w:t>других</w:t>
      </w:r>
      <w:proofErr w:type="gramEnd"/>
      <w:r w:rsidRPr="00EB7E4F">
        <w:t xml:space="preserve"> необходимых для проведения торгов документов.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 </w:t>
      </w:r>
      <w:r w:rsidRPr="00EB7E4F">
        <w:rPr>
          <w:rStyle w:val="a5"/>
        </w:rPr>
        <w:t>3. Подача заявки на участие в торгах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rPr>
          <w:rStyle w:val="a5"/>
        </w:rPr>
        <w:t>1.</w:t>
      </w:r>
      <w:r w:rsidRPr="00EB7E4F">
        <w:t> Получить электронную подпись для торгов. Электронную подпись можно получить в </w:t>
      </w:r>
      <w:hyperlink r:id="rId7" w:history="1">
        <w:r w:rsidRPr="00EB7E4F">
          <w:rPr>
            <w:rStyle w:val="a4"/>
          </w:rPr>
          <w:t>аккредитованном удостоверяющем центре.</w:t>
        </w:r>
      </w:hyperlink>
    </w:p>
    <w:p w:rsidR="00EB7E4F" w:rsidRPr="00EB7E4F" w:rsidRDefault="00EB7E4F" w:rsidP="00EB7E4F">
      <w:pPr>
        <w:pStyle w:val="a3"/>
        <w:contextualSpacing/>
        <w:jc w:val="both"/>
      </w:pPr>
      <w:r w:rsidRPr="00EB7E4F">
        <w:rPr>
          <w:rStyle w:val="a5"/>
        </w:rPr>
        <w:t>2. </w:t>
      </w:r>
      <w:r w:rsidRPr="00EB7E4F">
        <w:t>Аккредитоваться на электронной площадке, на которой проводятся торги.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rPr>
          <w:rStyle w:val="a5"/>
        </w:rPr>
        <w:t>3.</w:t>
      </w:r>
      <w:r w:rsidRPr="00EB7E4F">
        <w:t> Собрать пакет необходимых документов и отправить в аукционную комиссию.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rPr>
          <w:rStyle w:val="a5"/>
        </w:rPr>
        <w:t>4</w:t>
      </w:r>
      <w:r w:rsidRPr="00EB7E4F">
        <w:rPr>
          <w:rStyle w:val="a6"/>
          <w:b/>
          <w:bCs/>
        </w:rPr>
        <w:t>.</w:t>
      </w:r>
      <w:r w:rsidRPr="00EB7E4F">
        <w:t> Заполнить электронную форму заявки на участие в аукционе. Форма заявки размещена в открытом доступе для неограниченного круга лиц на электронной торговой площадке. К заявке необходимо приложить также в электронном виде, требуемые документы. Прилагаемые к заявке документы должны быть отсканированы.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Заявки рассматриваются аукционной комиссией в срок, предусмотренный действующим законодательством. В случае соответствия заявки установленным требованиям, заявитель допускается к участию в аукционе.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lastRenderedPageBreak/>
        <w:t>Заявки на участие в аукционе, представленные после окончания установленного срока приема заявок, </w:t>
      </w:r>
      <w:r w:rsidRPr="00EB7E4F">
        <w:rPr>
          <w:rStyle w:val="a5"/>
        </w:rPr>
        <w:t>не рассматриваются</w:t>
      </w:r>
      <w:r w:rsidRPr="00EB7E4F">
        <w:t> и в тот же день возвращаются соответствующим заявителям.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rPr>
          <w:rStyle w:val="a5"/>
        </w:rPr>
        <w:t>Внимание!</w:t>
      </w:r>
      <w:r w:rsidRPr="00EB7E4F">
        <w:t> Заявитель вправе подать </w:t>
      </w:r>
      <w:r w:rsidRPr="00EB7E4F">
        <w:rPr>
          <w:rStyle w:val="a5"/>
        </w:rPr>
        <w:t>только одну заявку</w:t>
      </w:r>
      <w:r w:rsidRPr="00EB7E4F">
        <w:t> в отношении каждого предмета аукциона (лота).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rPr>
          <w:rStyle w:val="a5"/>
        </w:rPr>
        <w:t>4. Участие в торгах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Претенденты приобретают статус участников аукциона с момента оформления Организатором аукциона Протокола признания претендентов участниками аукциона.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В аукционе участвуют только заявители, признанные участниками аукциона.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Аукцион проводится Организатором торгов в указанном в аукционной документации месте и в указанное время в присутствии участников аукциона либо их представителей (при наличии более одной заявки на лот).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Победителем аукциона признается лицо, предложившее наиболее высокую цену договора.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В случае</w:t>
      </w:r>
      <w:proofErr w:type="gramStart"/>
      <w:r w:rsidRPr="00EB7E4F">
        <w:t>,</w:t>
      </w:r>
      <w:proofErr w:type="gramEnd"/>
      <w:r w:rsidRPr="00EB7E4F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rPr>
          <w:rStyle w:val="a5"/>
        </w:rPr>
        <w:t> 5. Заключение договора аренды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По итогам проведения аукциона с победителем/единственным участником аукциона заключается договор аренды.</w:t>
      </w:r>
    </w:p>
    <w:p w:rsidR="00EB7E4F" w:rsidRPr="00EB7E4F" w:rsidRDefault="00EB7E4F" w:rsidP="00EB7E4F">
      <w:pPr>
        <w:pStyle w:val="a3"/>
        <w:contextualSpacing/>
        <w:jc w:val="both"/>
      </w:pPr>
      <w:r w:rsidRPr="00EB7E4F">
        <w:t>Срок заключения договора не должен превышать двадцати дней, при этом не допускается заключение договора ранее, чем через десять дней со дня размещения информации о результатах аукциона на официальном сайте торгов.</w:t>
      </w:r>
    </w:p>
    <w:p w:rsidR="00EB7E4F" w:rsidRPr="00EB7E4F" w:rsidRDefault="00EB7E4F" w:rsidP="00EB7E4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4F">
        <w:rPr>
          <w:rFonts w:ascii="Times New Roman" w:hAnsi="Times New Roman" w:cs="Times New Roman"/>
          <w:sz w:val="24"/>
          <w:szCs w:val="24"/>
        </w:rPr>
        <w:t>Договоры аренды с целью оказания имущественной поддержки субъектам МСП заключаются на срок </w:t>
      </w:r>
      <w:r w:rsidRPr="00EB7E4F">
        <w:rPr>
          <w:rStyle w:val="a5"/>
          <w:rFonts w:ascii="Times New Roman" w:hAnsi="Times New Roman" w:cs="Times New Roman"/>
          <w:sz w:val="24"/>
          <w:szCs w:val="24"/>
        </w:rPr>
        <w:t>не менее 5-ти лет</w:t>
      </w:r>
      <w:r w:rsidRPr="00EB7E4F">
        <w:rPr>
          <w:rFonts w:ascii="Times New Roman" w:hAnsi="Times New Roman" w:cs="Times New Roman"/>
          <w:sz w:val="24"/>
          <w:szCs w:val="24"/>
        </w:rPr>
        <w:t>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B7E4F" w:rsidRPr="00EB7E4F" w:rsidRDefault="00EB7E4F" w:rsidP="00EB7E4F">
      <w:pPr>
        <w:pStyle w:val="a3"/>
        <w:contextualSpacing/>
        <w:jc w:val="both"/>
      </w:pPr>
    </w:p>
    <w:p w:rsidR="00534307" w:rsidRPr="00EB7E4F" w:rsidRDefault="00534307" w:rsidP="00EB7E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34307" w:rsidRPr="00EB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E4F"/>
    <w:rsid w:val="00534307"/>
    <w:rsid w:val="00EB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7E4F"/>
    <w:rPr>
      <w:color w:val="0000FF"/>
      <w:u w:val="single"/>
    </w:rPr>
  </w:style>
  <w:style w:type="character" w:styleId="a5">
    <w:name w:val="Strong"/>
    <w:basedOn w:val="a0"/>
    <w:uiPriority w:val="22"/>
    <w:qFormat/>
    <w:rsid w:val="00EB7E4F"/>
    <w:rPr>
      <w:b/>
      <w:bCs/>
    </w:rPr>
  </w:style>
  <w:style w:type="character" w:styleId="a6">
    <w:name w:val="Emphasis"/>
    <w:basedOn w:val="a0"/>
    <w:uiPriority w:val="20"/>
    <w:qFormat/>
    <w:rsid w:val="00EB7E4F"/>
    <w:rPr>
      <w:i/>
      <w:iCs/>
    </w:rPr>
  </w:style>
  <w:style w:type="paragraph" w:customStyle="1" w:styleId="ConsPlusNormal">
    <w:name w:val="ConsPlusNormal"/>
    <w:rsid w:val="00EB7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gital.gov.ru/ru/activity/govservices/certification_authori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xn--ru-xlc/" TargetMode="External"/><Relationship Id="rId5" Type="http://schemas.openxmlformats.org/officeDocument/2006/relationships/hyperlink" Target="https://ofd.nalog.ru/" TargetMode="External"/><Relationship Id="rId4" Type="http://schemas.openxmlformats.org/officeDocument/2006/relationships/hyperlink" Target="https://torgi.gov.ru/new/publ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4395</Characters>
  <Application>Microsoft Office Word</Application>
  <DocSecurity>0</DocSecurity>
  <Lines>36</Lines>
  <Paragraphs>10</Paragraphs>
  <ScaleCrop>false</ScaleCrop>
  <Company>Grizli777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2023-02-28T11:38:00Z</dcterms:created>
  <dcterms:modified xsi:type="dcterms:W3CDTF">2023-02-28T11:39:00Z</dcterms:modified>
</cp:coreProperties>
</file>