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3.4</w:t>
      </w:r>
      <w:r>
        <w:rPr>
          <w:b/>
          <w:color w:val="000000"/>
          <w:szCs w:val="28"/>
        </w:rPr>
        <w:t xml:space="preserve">. </w:t>
      </w:r>
      <w:r>
        <w:rPr>
          <w:b/>
          <w:color w:val="000000"/>
          <w:szCs w:val="28"/>
        </w:rPr>
        <w:t xml:space="preserve">ОСНОВНЫЕ НАПРАВЛЕНИЯ </w:t>
      </w:r>
      <w:r>
        <w:rPr>
          <w:b/>
          <w:color w:val="000000"/>
          <w:szCs w:val="28"/>
        </w:rPr>
      </w:r>
    </w:p>
    <w:p>
      <w:pPr>
        <w:pStyle w:val="683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ФИНАНСОВО-БЮДЖЕТНОЙ ПОЛ</w:t>
      </w:r>
      <w:r>
        <w:rPr>
          <w:b/>
          <w:color w:val="000000"/>
          <w:szCs w:val="28"/>
        </w:rPr>
        <w:t xml:space="preserve">И</w:t>
      </w:r>
      <w:r>
        <w:rPr>
          <w:b/>
          <w:color w:val="000000"/>
          <w:szCs w:val="28"/>
        </w:rPr>
        <w:t xml:space="preserve">ТИКИ</w:t>
      </w:r>
      <w:r>
        <w:rPr>
          <w:b/>
          <w:color w:val="000000"/>
          <w:szCs w:val="28"/>
        </w:rPr>
      </w:r>
    </w:p>
    <w:p>
      <w:pPr>
        <w:pStyle w:val="683"/>
        <w:ind w:firstLine="709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</w:r>
      <w:r>
        <w:rPr>
          <w:b/>
          <w:color w:val="ff0000"/>
          <w:szCs w:val="28"/>
        </w:rPr>
      </w:r>
    </w:p>
    <w:p>
      <w:pPr>
        <w:pStyle w:val="683"/>
        <w:ind w:firstLine="709"/>
        <w:rPr>
          <w:color w:val="000000"/>
        </w:rPr>
      </w:pPr>
      <w:r>
        <w:rPr>
          <w:color w:val="000000"/>
          <w:szCs w:val="28"/>
        </w:rPr>
        <w:t xml:space="preserve">Основные направления ф</w:t>
      </w:r>
      <w:r>
        <w:rPr>
          <w:bCs/>
          <w:iCs/>
          <w:color w:val="000000"/>
          <w:szCs w:val="28"/>
        </w:rPr>
        <w:t xml:space="preserve">инансово-бюджетной политики </w:t>
      </w:r>
      <w:r>
        <w:rPr>
          <w:bCs/>
          <w:iCs/>
          <w:color w:val="000000"/>
          <w:szCs w:val="28"/>
        </w:rPr>
        <w:t xml:space="preserve">муниципал</w:t>
      </w:r>
      <w:r>
        <w:rPr>
          <w:bCs/>
          <w:iCs/>
          <w:color w:val="000000"/>
          <w:szCs w:val="28"/>
        </w:rPr>
        <w:t xml:space="preserve">ь</w:t>
      </w:r>
      <w:r>
        <w:rPr>
          <w:bCs/>
          <w:iCs/>
          <w:color w:val="000000"/>
          <w:szCs w:val="28"/>
        </w:rPr>
        <w:t xml:space="preserve">ного  образования </w:t>
      </w:r>
      <w:r>
        <w:rPr>
          <w:color w:val="000000"/>
          <w:szCs w:val="28"/>
        </w:rPr>
        <w:t xml:space="preserve"> «Город</w:t>
      </w:r>
      <w:r>
        <w:rPr>
          <w:color w:val="000000"/>
          <w:szCs w:val="28"/>
        </w:rPr>
        <w:t xml:space="preserve">  Льгов</w:t>
      </w:r>
      <w:r>
        <w:rPr>
          <w:color w:val="000000"/>
          <w:szCs w:val="28"/>
        </w:rPr>
        <w:t xml:space="preserve">» ежегодно формируются в соответс</w:t>
      </w:r>
      <w:r>
        <w:rPr>
          <w:color w:val="000000"/>
          <w:szCs w:val="28"/>
        </w:rPr>
        <w:t xml:space="preserve">т</w:t>
      </w:r>
      <w:r>
        <w:rPr>
          <w:color w:val="000000"/>
          <w:szCs w:val="28"/>
        </w:rPr>
        <w:t xml:space="preserve">вии с Бюджетным </w:t>
      </w:r>
      <w:r>
        <w:rPr>
          <w:color w:val="000000"/>
          <w:szCs w:val="28"/>
        </w:rPr>
        <w:t xml:space="preserve">и Налоговым </w:t>
      </w:r>
      <w:r>
        <w:rPr>
          <w:color w:val="000000"/>
          <w:szCs w:val="28"/>
        </w:rPr>
        <w:t xml:space="preserve">кодекс</w:t>
      </w:r>
      <w:r>
        <w:rPr>
          <w:color w:val="000000"/>
          <w:szCs w:val="28"/>
        </w:rPr>
        <w:t xml:space="preserve">ами</w:t>
      </w:r>
      <w:r>
        <w:rPr>
          <w:color w:val="000000"/>
          <w:szCs w:val="28"/>
        </w:rPr>
        <w:t xml:space="preserve"> Российской Федерации, Фед</w:t>
      </w:r>
      <w:r>
        <w:rPr>
          <w:color w:val="000000"/>
          <w:szCs w:val="28"/>
        </w:rPr>
        <w:t xml:space="preserve">е</w:t>
      </w:r>
      <w:r>
        <w:rPr>
          <w:color w:val="000000"/>
          <w:szCs w:val="28"/>
        </w:rPr>
        <w:t xml:space="preserve">ральным законом от 06.10.2003 № 131-ФЗ «Об общих принципах организации мес</w:t>
      </w:r>
      <w:r>
        <w:rPr>
          <w:color w:val="000000"/>
          <w:szCs w:val="28"/>
        </w:rPr>
        <w:t xml:space="preserve">т</w:t>
      </w:r>
      <w:r>
        <w:rPr>
          <w:color w:val="000000"/>
          <w:szCs w:val="28"/>
        </w:rPr>
        <w:t xml:space="preserve">ного самоуправления  в Российской Федерации», Федеральным законом </w:t>
      </w:r>
      <w:r>
        <w:rPr>
          <w:color w:val="000000"/>
          <w:szCs w:val="28"/>
        </w:rPr>
        <w:t xml:space="preserve">о</w:t>
      </w:r>
      <w:r>
        <w:rPr>
          <w:color w:val="000000"/>
          <w:szCs w:val="28"/>
        </w:rPr>
        <w:t xml:space="preserve"> ф</w:t>
      </w:r>
      <w:r>
        <w:rPr>
          <w:color w:val="000000"/>
          <w:szCs w:val="28"/>
        </w:rPr>
        <w:t xml:space="preserve">е</w:t>
      </w:r>
      <w:r>
        <w:rPr>
          <w:color w:val="000000"/>
          <w:szCs w:val="28"/>
        </w:rPr>
        <w:t xml:space="preserve">деральном бюджете на очередной финансовый год и плановый период, законом </w:t>
      </w:r>
      <w:r>
        <w:rPr>
          <w:color w:val="000000"/>
          <w:szCs w:val="28"/>
        </w:rPr>
        <w:t xml:space="preserve">Курской 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</w:t>
      </w:r>
      <w:r>
        <w:rPr>
          <w:color w:val="000000"/>
          <w:szCs w:val="28"/>
        </w:rPr>
        <w:t xml:space="preserve">б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областном </w:t>
      </w:r>
      <w:r>
        <w:rPr>
          <w:color w:val="000000"/>
          <w:szCs w:val="28"/>
        </w:rPr>
        <w:t xml:space="preserve"> бюджете на очередной финанс</w:t>
      </w:r>
      <w:r>
        <w:rPr>
          <w:color w:val="000000"/>
          <w:szCs w:val="28"/>
        </w:rPr>
        <w:t xml:space="preserve">о</w:t>
      </w:r>
      <w:r>
        <w:rPr>
          <w:color w:val="000000"/>
          <w:szCs w:val="28"/>
        </w:rPr>
        <w:t xml:space="preserve">вый год</w:t>
      </w:r>
      <w:r>
        <w:rPr>
          <w:color w:val="000000"/>
          <w:szCs w:val="28"/>
        </w:rPr>
        <w:t xml:space="preserve">  и  плановый  период</w:t>
      </w:r>
      <w:r>
        <w:rPr>
          <w:color w:val="000000"/>
          <w:szCs w:val="28"/>
        </w:rPr>
        <w:t xml:space="preserve">, Положением о бюджетном процессе в </w:t>
      </w:r>
      <w:r>
        <w:rPr>
          <w:color w:val="000000"/>
          <w:szCs w:val="28"/>
        </w:rPr>
        <w:t xml:space="preserve">МО</w:t>
      </w:r>
      <w:r>
        <w:rPr>
          <w:color w:val="000000"/>
        </w:rPr>
        <w:t xml:space="preserve"> «Город </w:t>
      </w:r>
      <w:r>
        <w:rPr>
          <w:color w:val="000000"/>
        </w:rPr>
        <w:t xml:space="preserve"> Льгов</w:t>
      </w:r>
      <w:r>
        <w:rPr>
          <w:color w:val="000000"/>
        </w:rPr>
        <w:t xml:space="preserve">»</w:t>
      </w:r>
      <w:r>
        <w:rPr>
          <w:color w:val="000000"/>
        </w:rP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683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направления бюджетной и налоговой политики в 20</w:t>
      </w:r>
      <w:r>
        <w:rPr>
          <w:color w:val="000000"/>
          <w:szCs w:val="28"/>
        </w:rPr>
        <w:t xml:space="preserve">22</w:t>
      </w:r>
      <w:r>
        <w:rPr>
          <w:color w:val="000000"/>
          <w:szCs w:val="28"/>
        </w:rPr>
        <w:t xml:space="preserve"> году были сформированы с учетом ре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лизации следующих задач:</w:t>
      </w:r>
      <w:r>
        <w:rPr>
          <w:color w:val="000000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-повышение эффективности, прозрачности и подотчетности использования</w:t>
      </w:r>
      <w:r>
        <w:rPr>
          <w:sz w:val="28"/>
          <w:szCs w:val="28"/>
        </w:rPr>
        <w:t xml:space="preserve"> бюджетных средств, а также совершенствование муниципального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вого контроля;</w:t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устойчивости бюджета города Льгова;</w:t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бюджетного процесса в условиях внедрения программно-целевых методов управления;</w:t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финансовыми ресурсами;</w:t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функциональной эффективности бюджетных расходов;</w:t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операционной эффективности деятельности органов местного самоуправления и муниципальных учреждений;</w:t>
      </w:r>
      <w:r>
        <w:rPr>
          <w:sz w:val="28"/>
          <w:szCs w:val="28"/>
        </w:rPr>
      </w:r>
    </w:p>
    <w:p>
      <w:pPr>
        <w:pStyle w:val="70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обеспечение открытости и прозрачности муниципальных финансов.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pStyle w:val="683"/>
        <w:jc w:val="center"/>
        <w:rPr>
          <w:b/>
          <w:caps/>
          <w:color w:val="ff0000"/>
          <w:szCs w:val="28"/>
        </w:rPr>
      </w:pPr>
      <w:r>
        <w:rPr>
          <w:b/>
          <w:caps/>
          <w:color w:val="ff0000"/>
          <w:szCs w:val="28"/>
        </w:rPr>
      </w:r>
      <w:r>
        <w:rPr>
          <w:b/>
          <w:caps/>
          <w:color w:val="ff0000"/>
          <w:szCs w:val="28"/>
        </w:rPr>
      </w:r>
    </w:p>
    <w:p>
      <w:pPr>
        <w:pStyle w:val="683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2. </w:t>
      </w:r>
      <w:r>
        <w:rPr>
          <w:b/>
          <w:caps/>
          <w:szCs w:val="28"/>
        </w:rPr>
        <w:t xml:space="preserve">Показатели бюджета </w:t>
      </w:r>
      <w:r>
        <w:rPr>
          <w:b/>
          <w:caps/>
          <w:szCs w:val="28"/>
        </w:rPr>
        <w:t xml:space="preserve">МУНИЦИПАЛЬНОГО ОБРАЗОВАНИЯ  «гОРОД  ЛЬГОВ»</w:t>
      </w:r>
      <w:r>
        <w:rPr>
          <w:b/>
          <w:caps/>
          <w:szCs w:val="28"/>
        </w:rPr>
      </w:r>
      <w:r>
        <w:rPr>
          <w:b/>
          <w:caps/>
          <w:szCs w:val="28"/>
        </w:rPr>
      </w:r>
    </w:p>
    <w:p>
      <w:pPr>
        <w:pStyle w:val="683"/>
        <w:jc w:val="center"/>
        <w:rPr>
          <w:b/>
          <w:szCs w:val="28"/>
        </w:rPr>
      </w:pPr>
      <w:r>
        <w:rPr>
          <w:b/>
          <w:caps/>
          <w:szCs w:val="28"/>
        </w:rPr>
        <w:t xml:space="preserve"> за </w:t>
      </w:r>
      <w:r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20</w:t>
      </w:r>
      <w:r>
        <w:rPr>
          <w:b/>
          <w:caps/>
          <w:szCs w:val="28"/>
        </w:rPr>
        <w:t xml:space="preserve">1</w:t>
      </w:r>
      <w:r>
        <w:rPr>
          <w:b/>
          <w:caps/>
          <w:szCs w:val="28"/>
        </w:rPr>
        <w:t xml:space="preserve">9 </w:t>
      </w:r>
      <w:r>
        <w:rPr>
          <w:b/>
          <w:caps/>
          <w:szCs w:val="28"/>
        </w:rPr>
        <w:t xml:space="preserve">–</w:t>
      </w:r>
      <w:r>
        <w:rPr>
          <w:b/>
          <w:caps/>
          <w:szCs w:val="28"/>
        </w:rPr>
        <w:t xml:space="preserve"> 20</w:t>
      </w:r>
      <w:r>
        <w:rPr>
          <w:b/>
          <w:caps/>
          <w:szCs w:val="28"/>
        </w:rPr>
        <w:t xml:space="preserve">23</w:t>
      </w:r>
      <w:r>
        <w:rPr>
          <w:b/>
          <w:caps/>
          <w:szCs w:val="28"/>
        </w:rPr>
        <w:t xml:space="preserve"> </w:t>
      </w:r>
      <w:r>
        <w:rPr>
          <w:b/>
          <w:szCs w:val="28"/>
        </w:rPr>
        <w:t xml:space="preserve">г</w:t>
      </w:r>
      <w:r>
        <w:rPr>
          <w:b/>
          <w:szCs w:val="28"/>
        </w:rPr>
        <w:t xml:space="preserve">оды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ind w:firstLine="540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</w:r>
      <w:r>
        <w:rPr>
          <w:spacing w:val="-2"/>
          <w:sz w:val="25"/>
          <w:szCs w:val="25"/>
        </w:rPr>
      </w:r>
    </w:p>
    <w:p>
      <w:pPr>
        <w:pStyle w:val="6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Доходы</w:t>
      </w:r>
      <w:r>
        <w:rPr>
          <w:b w:val="0"/>
          <w:bCs w:val="0"/>
          <w:sz w:val="28"/>
          <w:szCs w:val="28"/>
        </w:rPr>
        <w:t xml:space="preserve"> бюджета муниципального образования в 2023 году</w:t>
      </w:r>
      <w:r>
        <w:rPr>
          <w:sz w:val="28"/>
          <w:szCs w:val="28"/>
        </w:rPr>
        <w:t xml:space="preserve"> составили 759,8 млн.руб., в том числе налоговые и неналоговые доходы - 170,1 млн. руб. </w:t>
      </w:r>
      <w:r/>
      <w:r>
        <w:rPr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70"/>
        <w:jc w:val="both"/>
        <w:rPr>
          <w:b/>
          <w:caps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Доля собственных доходов ( налоговые и неналоговые доходы) в общем объеме доходов бюджета составила 22%. В 2023 году поступление собственных доходов на 24,1 млн.руб. превысило фактические поступления 2022 года. </w:t>
      </w:r>
      <w:r/>
      <w:r>
        <w:rPr>
          <w:color w:val="ff0000"/>
          <w:sz w:val="28"/>
          <w:szCs w:val="28"/>
        </w:rPr>
        <w:t xml:space="preserve"> </w:t>
      </w:r>
      <w:r>
        <w:rPr>
          <w:b/>
          <w:caps/>
          <w:szCs w:val="28"/>
        </w:rPr>
      </w:r>
    </w:p>
    <w:p>
      <w:pPr>
        <w:pStyle w:val="67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Показате</w:t>
      </w:r>
      <w:r>
        <w:rPr>
          <w:sz w:val="28"/>
          <w:szCs w:val="28"/>
        </w:rPr>
        <w:t xml:space="preserve">ли исполнения местного бюджета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9-20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ставлены в таблице</w:t>
      </w:r>
      <w:r>
        <w:rPr>
          <w:sz w:val="28"/>
          <w:szCs w:val="28"/>
        </w:rPr>
        <w:t xml:space="preserve">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83"/>
        <w:ind w:firstLine="709"/>
        <w:jc w:val="center"/>
        <w:rPr>
          <w:b/>
          <w:caps/>
          <w:color w:val="ff0000"/>
          <w:szCs w:val="28"/>
        </w:rPr>
      </w:pPr>
      <w:r>
        <w:rPr>
          <w:b/>
          <w:caps/>
          <w:color w:val="ff0000"/>
          <w:szCs w:val="28"/>
        </w:rPr>
      </w:r>
      <w:r>
        <w:rPr>
          <w:b/>
          <w:caps/>
          <w:color w:val="ff0000"/>
          <w:szCs w:val="28"/>
        </w:rPr>
      </w:r>
    </w:p>
    <w:p>
      <w:pPr>
        <w:pStyle w:val="68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Показатели</w:t>
      </w:r>
      <w:r>
        <w:rPr>
          <w:b/>
          <w:szCs w:val="28"/>
        </w:rPr>
        <w:t xml:space="preserve"> исполнения </w:t>
      </w:r>
      <w:r>
        <w:rPr>
          <w:b/>
          <w:szCs w:val="28"/>
        </w:rPr>
        <w:t xml:space="preserve"> бюджета </w:t>
      </w:r>
      <w:r>
        <w:rPr>
          <w:b/>
          <w:szCs w:val="28"/>
        </w:rPr>
        <w:t xml:space="preserve">муниципального образования  «Г</w:t>
      </w:r>
      <w:r>
        <w:rPr>
          <w:b/>
          <w:szCs w:val="28"/>
        </w:rPr>
        <w:t xml:space="preserve">ород</w:t>
      </w:r>
      <w:r>
        <w:rPr>
          <w:b/>
          <w:szCs w:val="28"/>
        </w:rPr>
        <w:t xml:space="preserve">  Льгов»</w:t>
      </w:r>
      <w:r>
        <w:rPr>
          <w:b/>
          <w:szCs w:val="28"/>
        </w:rPr>
        <w:t xml:space="preserve">  </w:t>
      </w: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  <w:t xml:space="preserve">за 20</w:t>
      </w:r>
      <w:r>
        <w:rPr>
          <w:b/>
          <w:szCs w:val="28"/>
        </w:rPr>
        <w:t xml:space="preserve">1</w:t>
      </w:r>
      <w:r>
        <w:rPr>
          <w:b/>
          <w:szCs w:val="28"/>
        </w:rPr>
        <w:t xml:space="preserve">9 </w:t>
      </w:r>
      <w:r>
        <w:rPr>
          <w:b/>
          <w:szCs w:val="28"/>
        </w:rPr>
        <w:t xml:space="preserve">- 20</w:t>
      </w:r>
      <w:r>
        <w:rPr>
          <w:b/>
          <w:szCs w:val="28"/>
        </w:rPr>
        <w:t xml:space="preserve">22</w:t>
      </w:r>
      <w:r>
        <w:rPr>
          <w:b/>
          <w:szCs w:val="28"/>
        </w:rPr>
        <w:t xml:space="preserve"> г</w:t>
      </w:r>
      <w:r>
        <w:rPr>
          <w:b/>
          <w:szCs w:val="28"/>
        </w:rPr>
        <w:t xml:space="preserve">г.</w:t>
      </w: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172" w:type="dxa"/>
        <w:jc w:val="center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32"/>
        <w:gridCol w:w="1080"/>
        <w:gridCol w:w="1080"/>
        <w:gridCol w:w="1080"/>
        <w:gridCol w:w="1200"/>
        <w:gridCol w:w="1200"/>
      </w:tblGrid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показат</w:t>
            </w:r>
            <w:r>
              <w:rPr>
                <w:b/>
                <w:sz w:val="28"/>
                <w:szCs w:val="28"/>
              </w:rPr>
              <w:t xml:space="preserve">е</w:t>
            </w:r>
            <w:r>
              <w:rPr>
                <w:b/>
                <w:sz w:val="28"/>
                <w:szCs w:val="28"/>
              </w:rPr>
              <w:t xml:space="preserve">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9 г.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20 г.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21</w:t>
            </w:r>
            <w:r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22</w:t>
            </w:r>
            <w:r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23</w:t>
            </w:r>
            <w:r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бюджета,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417,8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759,8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бюджета,</w:t>
            </w:r>
            <w:r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346,3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425,6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751,8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808,7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</w:t>
            </w:r>
            <w:r>
              <w:rPr>
                <w:sz w:val="28"/>
                <w:szCs w:val="28"/>
              </w:rPr>
              <w:t xml:space="preserve">и неналоговые </w:t>
            </w:r>
            <w:r>
              <w:rPr>
                <w:sz w:val="28"/>
                <w:szCs w:val="28"/>
              </w:rPr>
              <w:t xml:space="preserve">доходы бюджета,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170,1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1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налоговых</w:t>
            </w:r>
            <w:r>
              <w:rPr>
                <w:sz w:val="28"/>
                <w:szCs w:val="28"/>
              </w:rPr>
              <w:t xml:space="preserve"> и ненал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говых</w:t>
            </w:r>
            <w:r>
              <w:rPr>
                <w:sz w:val="28"/>
                <w:szCs w:val="28"/>
              </w:rPr>
              <w:t xml:space="preserve"> поступлений в дох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дах бюджета, %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22,4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Основными источниками поступлений собственных доходов являются:</w:t>
      </w:r>
      <w:r>
        <w:rPr>
          <w:color w:val="ff0000"/>
          <w:sz w:val="28"/>
          <w:szCs w:val="28"/>
        </w:rPr>
      </w:r>
      <w:r/>
    </w:p>
    <w:p>
      <w:pPr>
        <w:pStyle w:val="67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98,9 млн.руб.  или 58% от объема собственных доходов ( на 14,6 млн.руб. больше поступлений прошлого года);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налоги на имущество – 31,5 млн.руб. или 18,5% от объема собственных доходов (на 11,2 млн.руб. больше поступлений прошлого года);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доходы от продажи земли и имущества – 14,4 млн.руб. или  8,5% от объема собственных доходов  ( на 2,0 млн. руб. больше поступлений прошлого года);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налоги на совокупный доход – 8,3 млн.руб. или 4,9% от объема собственных доходов ( на 60 тыс.руб. больше поступлений прошлого года);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доходы от использования имущества, находящегося в муниципальной собственности  (аренда имущества и земли) – 5,4 млн.руб. или 3,2% от объема собственных доходов (превышение показателей 2022 года на 195,0 тыс.руб.).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683"/>
        <w:ind w:firstLine="709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</w:r>
      <w:r>
        <w:rPr>
          <w:b/>
          <w:color w:val="ff0000"/>
          <w:szCs w:val="28"/>
        </w:rPr>
      </w:r>
    </w:p>
    <w:p>
      <w:pPr>
        <w:pStyle w:val="683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Показатели исполнения </w:t>
      </w:r>
      <w:r>
        <w:rPr>
          <w:b/>
          <w:color w:val="000000"/>
          <w:szCs w:val="28"/>
        </w:rPr>
        <w:t xml:space="preserve">бюджета </w:t>
      </w:r>
      <w:r>
        <w:rPr>
          <w:b/>
          <w:color w:val="000000"/>
          <w:szCs w:val="28"/>
        </w:rPr>
        <w:t xml:space="preserve">муниципального образования</w:t>
      </w:r>
      <w:r>
        <w:rPr>
          <w:b/>
          <w:color w:val="000000"/>
          <w:szCs w:val="28"/>
        </w:rPr>
      </w:r>
    </w:p>
    <w:p>
      <w:pPr>
        <w:pStyle w:val="6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отчетном году доля расходов бюджета, сформированных по программному методу (13 программ), составила 96% или 776,1 млн.руб.  от общей суммы расходов.</w:t>
        <w:tab/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Бюджет муниципального образования по своей структуре имеет социальную направленность. 455 млн.руб. (более 50% от общего объема расходов бюджета) направлено на финансирование социальной сферы.  </w:t>
      </w:r>
      <w:r/>
      <w:r>
        <w:rPr>
          <w:color w:val="000000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Направлено на образование – 368,4 млн.руб.; социальную поддержку граждан – 74,9 млн.руб., культуру - 8,6 млн.руб.;  работу с молодежью, оздоровление и организацию летнего отдыха, физическую культуру и спорт – 3,1 млн.руб.  </w:t>
      </w:r>
      <w:r>
        <w:rPr>
          <w:color w:val="000000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1134" w:right="124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88"/>
      </w:rPr>
      <w:framePr w:wrap="around" w:vAnchor="text" w:hAnchor="margin" w:xAlign="right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separate"/>
    </w:r>
    <w:r>
      <w:rPr>
        <w:rStyle w:val="688"/>
      </w:rPr>
      <w:t xml:space="preserve">2</w:t>
    </w:r>
    <w:r>
      <w:rPr>
        <w:rStyle w:val="688"/>
      </w:rPr>
      <w:fldChar w:fldCharType="end"/>
    </w:r>
    <w:r>
      <w:rPr>
        <w:rStyle w:val="688"/>
      </w:rPr>
    </w:r>
    <w:r>
      <w:rPr>
        <w:rStyle w:val="688"/>
      </w:rPr>
    </w:r>
  </w:p>
  <w:p>
    <w:pPr>
      <w:pStyle w:val="689"/>
      <w:ind w:right="360"/>
    </w:pPr>
    <w:r>
      <w:t xml:space="preserve"> 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88"/>
      </w:rPr>
      <w:framePr w:wrap="around" w:vAnchor="text" w:hAnchor="margin" w:xAlign="right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end"/>
    </w:r>
    <w:r>
      <w:rPr>
        <w:rStyle w:val="688"/>
      </w:rPr>
    </w:r>
    <w:r>
      <w:rPr>
        <w:rStyle w:val="688"/>
      </w:rPr>
    </w:r>
  </w:p>
  <w:p>
    <w:pPr>
      <w:pStyle w:val="68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  <w:tabs>
          <w:tab w:val="num" w:pos="148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  <w:tabs>
          <w:tab w:val="num" w:pos="220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  <w:tabs>
          <w:tab w:val="num" w:pos="292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  <w:tabs>
          <w:tab w:val="num" w:pos="364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  <w:tabs>
          <w:tab w:val="num" w:pos="436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  <w:tabs>
          <w:tab w:val="num" w:pos="508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  <w:tabs>
          <w:tab w:val="num" w:pos="580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  <w:tabs>
          <w:tab w:val="num" w:pos="652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  <w:tabs>
          <w:tab w:val="num" w:pos="7245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sz w:val="24"/>
      <w:szCs w:val="24"/>
      <w:lang w:val="ru-RU" w:eastAsia="ru-RU" w:bidi="ar-SA"/>
    </w:rPr>
  </w:style>
  <w:style w:type="paragraph" w:styleId="671">
    <w:name w:val="Заголовок 1"/>
    <w:basedOn w:val="670"/>
    <w:next w:val="670"/>
    <w:link w:val="670"/>
    <w:qFormat/>
    <w:pPr>
      <w:keepNext/>
      <w:outlineLvl w:val="0"/>
    </w:pPr>
    <w:rPr>
      <w:sz w:val="28"/>
      <w:szCs w:val="20"/>
    </w:rPr>
  </w:style>
  <w:style w:type="paragraph" w:styleId="672">
    <w:name w:val="Заголовок 2"/>
    <w:basedOn w:val="670"/>
    <w:next w:val="670"/>
    <w:link w:val="670"/>
    <w:qFormat/>
    <w:pPr>
      <w:jc w:val="both"/>
      <w:keepNext/>
      <w:outlineLvl w:val="1"/>
    </w:pPr>
    <w:rPr>
      <w:sz w:val="28"/>
      <w:szCs w:val="20"/>
    </w:rPr>
  </w:style>
  <w:style w:type="paragraph" w:styleId="673">
    <w:name w:val="Заголовок 3"/>
    <w:basedOn w:val="670"/>
    <w:next w:val="670"/>
    <w:link w:val="670"/>
    <w:qFormat/>
    <w:pPr>
      <w:keepNext/>
      <w:outlineLvl w:val="2"/>
    </w:pPr>
    <w:rPr>
      <w:sz w:val="20"/>
      <w:szCs w:val="20"/>
    </w:rPr>
  </w:style>
  <w:style w:type="paragraph" w:styleId="674">
    <w:name w:val="Заголовок 4"/>
    <w:basedOn w:val="670"/>
    <w:next w:val="670"/>
    <w:link w:val="670"/>
    <w:qFormat/>
    <w:pPr>
      <w:keepNext/>
      <w:outlineLvl w:val="3"/>
    </w:pPr>
    <w:rPr>
      <w:b/>
      <w:sz w:val="28"/>
      <w:szCs w:val="20"/>
      <w:lang w:val="en-US"/>
    </w:rPr>
  </w:style>
  <w:style w:type="paragraph" w:styleId="675">
    <w:name w:val="Заголовок 5"/>
    <w:basedOn w:val="670"/>
    <w:next w:val="670"/>
    <w:link w:val="670"/>
    <w:qFormat/>
    <w:pPr>
      <w:jc w:val="center"/>
      <w:keepNext/>
      <w:outlineLvl w:val="4"/>
    </w:pPr>
    <w:rPr>
      <w:b/>
      <w:sz w:val="16"/>
      <w:szCs w:val="20"/>
    </w:rPr>
  </w:style>
  <w:style w:type="paragraph" w:styleId="676">
    <w:name w:val="Заголовок 6"/>
    <w:basedOn w:val="670"/>
    <w:next w:val="670"/>
    <w:link w:val="670"/>
    <w:qFormat/>
    <w:pPr>
      <w:jc w:val="center"/>
      <w:keepNext/>
      <w:outlineLvl w:val="5"/>
    </w:pPr>
    <w:rPr>
      <w:b/>
      <w:bCs/>
      <w:sz w:val="22"/>
      <w:szCs w:val="16"/>
    </w:rPr>
  </w:style>
  <w:style w:type="paragraph" w:styleId="677">
    <w:name w:val="Заголовок 7"/>
    <w:basedOn w:val="670"/>
    <w:next w:val="670"/>
    <w:link w:val="670"/>
    <w:qFormat/>
    <w:pPr>
      <w:jc w:val="center"/>
      <w:keepNext/>
      <w:outlineLvl w:val="6"/>
    </w:pPr>
    <w:rPr>
      <w:bCs/>
      <w:spacing w:val="4"/>
      <w:szCs w:val="20"/>
    </w:rPr>
  </w:style>
  <w:style w:type="paragraph" w:styleId="678">
    <w:name w:val="Заголовок 8"/>
    <w:basedOn w:val="670"/>
    <w:next w:val="670"/>
    <w:link w:val="670"/>
    <w:qFormat/>
    <w:pPr>
      <w:jc w:val="center"/>
      <w:keepNext/>
      <w:outlineLvl w:val="7"/>
    </w:pPr>
    <w:rPr>
      <w:b/>
      <w:spacing w:val="4"/>
      <w:szCs w:val="20"/>
    </w:rPr>
  </w:style>
  <w:style w:type="character" w:styleId="679">
    <w:name w:val="Основной шрифт абзаца"/>
    <w:next w:val="679"/>
    <w:link w:val="670"/>
    <w:semiHidden/>
  </w:style>
  <w:style w:type="table" w:styleId="680">
    <w:name w:val="Обычная таблица"/>
    <w:next w:val="680"/>
    <w:link w:val="670"/>
    <w:semiHidden/>
    <w:tblPr/>
  </w:style>
  <w:style w:type="numbering" w:styleId="681">
    <w:name w:val="Нет списка"/>
    <w:next w:val="681"/>
    <w:link w:val="670"/>
    <w:semiHidden/>
  </w:style>
  <w:style w:type="paragraph" w:styleId="682">
    <w:name w:val="Верхний колонтитул"/>
    <w:basedOn w:val="670"/>
    <w:next w:val="682"/>
    <w:link w:val="670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683">
    <w:name w:val="Основной текст с отступом"/>
    <w:basedOn w:val="670"/>
    <w:next w:val="683"/>
    <w:link w:val="670"/>
    <w:pPr>
      <w:ind w:firstLine="525"/>
      <w:jc w:val="both"/>
    </w:pPr>
    <w:rPr>
      <w:sz w:val="28"/>
      <w:szCs w:val="20"/>
    </w:rPr>
  </w:style>
  <w:style w:type="paragraph" w:styleId="684">
    <w:name w:val="Heading"/>
    <w:next w:val="684"/>
    <w:link w:val="670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685">
    <w:name w:val="Основной текст с отступом 2"/>
    <w:basedOn w:val="670"/>
    <w:next w:val="685"/>
    <w:link w:val="670"/>
    <w:pPr>
      <w:ind w:firstLine="720"/>
    </w:pPr>
    <w:rPr>
      <w:sz w:val="28"/>
      <w:szCs w:val="20"/>
    </w:rPr>
  </w:style>
  <w:style w:type="paragraph" w:styleId="686">
    <w:name w:val="Основной текст с отступом 3"/>
    <w:basedOn w:val="670"/>
    <w:next w:val="686"/>
    <w:link w:val="670"/>
    <w:pPr>
      <w:ind w:firstLine="720"/>
      <w:jc w:val="both"/>
    </w:pPr>
    <w:rPr>
      <w:sz w:val="28"/>
      <w:szCs w:val="20"/>
    </w:rPr>
  </w:style>
  <w:style w:type="paragraph" w:styleId="687">
    <w:name w:val="Основной текст"/>
    <w:basedOn w:val="670"/>
    <w:next w:val="687"/>
    <w:link w:val="670"/>
    <w:pPr>
      <w:jc w:val="both"/>
    </w:pPr>
    <w:rPr>
      <w:sz w:val="28"/>
      <w:szCs w:val="20"/>
    </w:rPr>
  </w:style>
  <w:style w:type="character" w:styleId="688">
    <w:name w:val="Номер страницы"/>
    <w:basedOn w:val="679"/>
    <w:next w:val="688"/>
    <w:link w:val="670"/>
  </w:style>
  <w:style w:type="paragraph" w:styleId="689">
    <w:name w:val="Нижний колонтитул"/>
    <w:basedOn w:val="670"/>
    <w:next w:val="689"/>
    <w:link w:val="670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690">
    <w:name w:val="Основной текст 2"/>
    <w:basedOn w:val="670"/>
    <w:next w:val="690"/>
    <w:link w:val="670"/>
    <w:pPr>
      <w:jc w:val="center"/>
    </w:pPr>
    <w:rPr>
      <w:i/>
      <w:sz w:val="22"/>
    </w:rPr>
  </w:style>
  <w:style w:type="paragraph" w:styleId="691">
    <w:name w:val="Основной текст 3"/>
    <w:basedOn w:val="670"/>
    <w:next w:val="691"/>
    <w:link w:val="670"/>
    <w:pPr>
      <w:jc w:val="both"/>
    </w:pPr>
  </w:style>
  <w:style w:type="paragraph" w:styleId="692">
    <w:name w:val="Цитата"/>
    <w:basedOn w:val="670"/>
    <w:next w:val="692"/>
    <w:link w:val="670"/>
    <w:pPr>
      <w:ind w:left="-288" w:right="-288" w:firstLine="288"/>
    </w:pPr>
  </w:style>
  <w:style w:type="paragraph" w:styleId="693">
    <w:name w:val="Обычный (веб)"/>
    <w:basedOn w:val="670"/>
    <w:next w:val="693"/>
    <w:link w:val="670"/>
    <w:pPr>
      <w:spacing w:before="79" w:after="79"/>
    </w:pPr>
    <w:rPr>
      <w:rFonts w:ascii="Arial" w:hAnsi="Arial" w:cs="Arial"/>
      <w:color w:val="000000"/>
      <w:sz w:val="20"/>
      <w:szCs w:val="20"/>
    </w:rPr>
  </w:style>
  <w:style w:type="paragraph" w:styleId="694">
    <w:name w:val="ConsNormal"/>
    <w:next w:val="694"/>
    <w:link w:val="670"/>
    <w:pPr>
      <w:ind w:right="19772" w:firstLine="720"/>
    </w:pPr>
    <w:rPr>
      <w:rFonts w:ascii="Arial" w:hAnsi="Arial" w:cs="Arial"/>
      <w:sz w:val="22"/>
      <w:szCs w:val="22"/>
      <w:lang w:val="ru-RU" w:eastAsia="ru-RU" w:bidi="ar-SA"/>
    </w:rPr>
  </w:style>
  <w:style w:type="paragraph" w:styleId="695">
    <w:name w:val="ConsPlusNormal"/>
    <w:next w:val="695"/>
    <w:link w:val="6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96">
    <w:name w:val="Текст выноски"/>
    <w:basedOn w:val="670"/>
    <w:next w:val="696"/>
    <w:link w:val="670"/>
    <w:semiHidden/>
    <w:rPr>
      <w:rFonts w:ascii="Tahoma" w:hAnsi="Tahoma" w:cs="Tahoma"/>
      <w:sz w:val="16"/>
      <w:szCs w:val="16"/>
    </w:rPr>
  </w:style>
  <w:style w:type="paragraph" w:styleId="697">
    <w:name w:val="Char Знак Знак Char Знак Знак Знак Знак Знак Знак Знак Знак Знак Знак Знак Знак Знак Знак Знак Знак"/>
    <w:basedOn w:val="670"/>
    <w:next w:val="697"/>
    <w:link w:val="670"/>
    <w:rPr>
      <w:rFonts w:ascii="Verdana" w:hAnsi="Verdana" w:cs="Verdana"/>
      <w:sz w:val="20"/>
      <w:szCs w:val="20"/>
      <w:lang w:val="en-US" w:eastAsia="en-US"/>
    </w:rPr>
  </w:style>
  <w:style w:type="paragraph" w:styleId="698">
    <w:name w:val="Основной текст 22"/>
    <w:basedOn w:val="670"/>
    <w:next w:val="698"/>
    <w:link w:val="670"/>
    <w:pPr>
      <w:jc w:val="center"/>
    </w:pPr>
    <w:rPr>
      <w:rFonts w:ascii="Garamond" w:hAnsi="Garamond"/>
      <w:b/>
      <w:sz w:val="28"/>
      <w:szCs w:val="20"/>
      <w:lang w:eastAsia="en-US"/>
    </w:rPr>
  </w:style>
  <w:style w:type="paragraph" w:styleId="699">
    <w:name w:val=" Знак"/>
    <w:basedOn w:val="670"/>
    <w:next w:val="699"/>
    <w:link w:val="670"/>
    <w:rPr>
      <w:rFonts w:ascii="Verdana" w:hAnsi="Verdana" w:cs="Verdana"/>
      <w:sz w:val="20"/>
      <w:szCs w:val="20"/>
      <w:lang w:val="en-US" w:eastAsia="en-US"/>
    </w:rPr>
  </w:style>
  <w:style w:type="paragraph" w:styleId="700">
    <w:name w:val=" Знак Знак Знак Знак"/>
    <w:basedOn w:val="670"/>
    <w:next w:val="700"/>
    <w:link w:val="670"/>
    <w:rPr>
      <w:rFonts w:ascii="Verdana" w:hAnsi="Verdana" w:cs="Verdana"/>
      <w:sz w:val="20"/>
      <w:szCs w:val="20"/>
      <w:lang w:val="en-US" w:eastAsia="en-US"/>
    </w:rPr>
  </w:style>
  <w:style w:type="table" w:styleId="701">
    <w:name w:val="Сетка таблицы"/>
    <w:basedOn w:val="680"/>
    <w:next w:val="701"/>
    <w:link w:val="670"/>
    <w:tblPr/>
  </w:style>
  <w:style w:type="paragraph" w:styleId="702">
    <w:name w:val="ConsPlusCell"/>
    <w:next w:val="702"/>
    <w:link w:val="670"/>
    <w:uiPriority w:val="99"/>
    <w:pPr>
      <w:widowControl w:val="off"/>
    </w:pPr>
    <w:rPr>
      <w:sz w:val="24"/>
      <w:szCs w:val="24"/>
      <w:lang w:val="ru-RU" w:eastAsia="ru-RU" w:bidi="ar-SA"/>
    </w:rPr>
  </w:style>
  <w:style w:type="character" w:styleId="1432" w:default="1">
    <w:name w:val="Default Paragraph Font"/>
    <w:uiPriority w:val="1"/>
    <w:semiHidden/>
    <w:unhideWhenUsed/>
  </w:style>
  <w:style w:type="numbering" w:styleId="1433" w:default="1">
    <w:name w:val="No List"/>
    <w:uiPriority w:val="99"/>
    <w:semiHidden/>
    <w:unhideWhenUsed/>
  </w:style>
  <w:style w:type="table" w:styleId="14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Финуправление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ИНФОРМАЦИЯ</dc:title>
  <dc:creator>BUDGET2</dc:creator>
  <cp:revision>341</cp:revision>
  <dcterms:created xsi:type="dcterms:W3CDTF">2008-03-13T14:56:00Z</dcterms:created>
  <dcterms:modified xsi:type="dcterms:W3CDTF">2024-07-01T07:54:34Z</dcterms:modified>
  <cp:version>786432</cp:version>
</cp:coreProperties>
</file>