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16"/>
        <w:jc w:val="center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16"/>
        <w:jc w:val="center"/>
        <w:rPr>
          <w:b/>
          <w:lang w:val="ru-RU"/>
        </w:rPr>
      </w:pPr>
      <w:r>
        <w:rPr>
          <w:lang w:val="ru-RU"/>
        </w:rPr>
        <w:t xml:space="preserve">    </w:t>
      </w:r>
      <w:r>
        <w:rPr>
          <w:b/>
          <w:sz w:val="36"/>
          <w:lang w:val="ru-RU"/>
        </w:rPr>
        <w:t xml:space="preserve">Культура</w:t>
      </w:r>
      <w:r>
        <w:rPr>
          <w:b/>
          <w:lang w:val="ru-RU"/>
        </w:rPr>
        <w:t xml:space="preserve"> </w:t>
      </w:r>
      <w:r>
        <w:rPr>
          <w:b/>
          <w:lang w:val="ru-RU"/>
        </w:rPr>
      </w:r>
      <w:r>
        <w:rPr>
          <w:b/>
          <w:lang w:val="ru-RU"/>
        </w:rPr>
      </w:r>
    </w:p>
    <w:p>
      <w:pPr>
        <w:pStyle w:val="616"/>
        <w:jc w:val="center"/>
        <w:rPr>
          <w:b/>
          <w:sz w:val="36"/>
          <w:lang w:val="ru-RU"/>
        </w:rPr>
      </w:pPr>
      <w:r>
        <w:rPr>
          <w:b/>
          <w:sz w:val="36"/>
          <w:lang w:val="ru-RU"/>
        </w:rPr>
      </w:r>
      <w:r>
        <w:rPr>
          <w:b/>
          <w:sz w:val="36"/>
          <w:lang w:val="ru-RU"/>
        </w:rPr>
      </w:r>
    </w:p>
    <w:p>
      <w:pPr>
        <w:pStyle w:val="61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Деятельность учреждений культуры ориентирована на удовлетворение культурных потребностей различных групп населения, воспитание у подрастающего поколения любви к Родине, приобщения культурным ценностям и искусству. </w:t>
      </w:r>
      <w:r>
        <w:rPr>
          <w:sz w:val="28"/>
          <w:szCs w:val="28"/>
          <w:lang w:val="ru-RU"/>
        </w:rPr>
      </w:r>
    </w:p>
    <w:p>
      <w:pPr>
        <w:pStyle w:val="6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ru-RU"/>
        </w:rPr>
        <w:t xml:space="preserve">       Сфера представлена одним учреждением – Культурно-досуговым комплексом.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Style w:val="1_904"/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Всего в отрасли «культура» работает 11 специалистов.  </w:t>
      </w:r>
      <w:r>
        <w:rPr>
          <w:rStyle w:val="1_904"/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Сфера культуры города укомплектована в полном объеме кадрами.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ff0000"/>
          <w:sz w:val="28"/>
          <w:szCs w:val="28"/>
          <w:lang w:val="ru-RU"/>
        </w:rPr>
        <w:t xml:space="preserve">     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В 2023 году в МБУ «КДК города Льгова» успешно работали 12 клубных формиро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ваний различной направленности. Общая численность участников коллективов клубов и художественной самодеятельности – 266 человек. Проведено более 525 разноплановых мероприятий, из них 205 мероприятий для детей до 14 лет, 88 – информационно-просветительских.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16"/>
        <w:jc w:val="both"/>
        <w:rPr>
          <w:b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 xml:space="preserve">Работает </w:t>
      </w:r>
      <w:r>
        <w:rPr>
          <w:sz w:val="28"/>
          <w:szCs w:val="28"/>
          <w:lang w:val="ru-RU"/>
        </w:rPr>
        <w:t xml:space="preserve">студи</w:t>
      </w:r>
      <w:r>
        <w:rPr>
          <w:sz w:val="28"/>
          <w:szCs w:val="28"/>
          <w:lang w:val="ru-RU"/>
        </w:rPr>
        <w:t xml:space="preserve">я</w:t>
      </w:r>
      <w:r>
        <w:rPr>
          <w:sz w:val="28"/>
          <w:szCs w:val="28"/>
          <w:lang w:val="ru-RU"/>
        </w:rPr>
        <w:t xml:space="preserve"> современного вокала </w:t>
      </w:r>
      <w:r>
        <w:rPr>
          <w:b/>
          <w:sz w:val="28"/>
          <w:szCs w:val="28"/>
          <w:lang w:val="ru-RU"/>
        </w:rPr>
        <w:t xml:space="preserve">«</w:t>
      </w:r>
      <w:r>
        <w:rPr>
          <w:b/>
          <w:sz w:val="28"/>
          <w:szCs w:val="28"/>
        </w:rPr>
        <w:t xml:space="preserve">Diamond</w:t>
      </w:r>
      <w:r>
        <w:rPr>
          <w:b/>
          <w:sz w:val="28"/>
          <w:szCs w:val="28"/>
          <w:lang w:val="ru-RU"/>
        </w:rPr>
        <w:t xml:space="preserve">»</w:t>
      </w:r>
      <w:r>
        <w:rPr>
          <w:sz w:val="28"/>
          <w:szCs w:val="28"/>
          <w:lang w:val="ru-RU"/>
        </w:rPr>
        <w:t xml:space="preserve"> под руководством Александра Григорьевича Новикова и вокальн</w:t>
      </w:r>
      <w:r>
        <w:rPr>
          <w:sz w:val="28"/>
          <w:szCs w:val="28"/>
          <w:lang w:val="ru-RU"/>
        </w:rPr>
        <w:t xml:space="preserve">ая</w:t>
      </w:r>
      <w:r>
        <w:rPr>
          <w:sz w:val="28"/>
          <w:szCs w:val="28"/>
          <w:lang w:val="ru-RU"/>
        </w:rPr>
        <w:t xml:space="preserve"> студи</w:t>
      </w:r>
      <w:r>
        <w:rPr>
          <w:sz w:val="28"/>
          <w:szCs w:val="28"/>
          <w:lang w:val="ru-RU"/>
        </w:rPr>
        <w:t xml:space="preserve">я</w:t>
      </w:r>
      <w:r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«Мелодия»</w:t>
      </w:r>
      <w:r>
        <w:rPr>
          <w:b/>
          <w:sz w:val="28"/>
          <w:szCs w:val="28"/>
          <w:lang w:val="ru-RU"/>
        </w:rPr>
        <w:t xml:space="preserve">.</w:t>
      </w:r>
      <w:r>
        <w:rPr>
          <w:b/>
          <w:sz w:val="28"/>
          <w:szCs w:val="28"/>
          <w:lang w:val="ru-RU"/>
        </w:rPr>
      </w:r>
    </w:p>
    <w:p>
      <w:pPr>
        <w:pStyle w:val="625"/>
        <w:jc w:val="both"/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З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а д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остигнуты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результаты в культурно-просветительской деятельности работники культуры в 2023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году были отмечены  следующими наградами.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pStyle w:val="625"/>
        <w:jc w:val="both"/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eastAsia="Times New Roman" w:cs="Times New Roman"/>
          <w:color w:val="7030a0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Руководители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ВПК «Спецназ»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Машин Ю.А. и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ВПК «Белый медведь»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награждены медалью к 80-летию в Курской битве. Так же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Машин Ю.А.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награжден Грамотой Министерства внутренней и молодежной политики Курской области.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  </w:t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pStyle w:val="61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Машина Александра стала дипломантом 3 степени в Четвертом межрегиональном фестивале народной песни и танца «Белая Слобода»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. Вокальная группа «Ольгов» в вышеуказанном конкурсе стала дипломантом 2  степени.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61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К</w:t>
      </w:r>
      <w:r>
        <w:rPr>
          <w:sz w:val="28"/>
          <w:szCs w:val="28"/>
          <w:lang w:val="ru-RU"/>
        </w:rPr>
        <w:t xml:space="preserve">оллектив студии танца </w:t>
      </w:r>
      <w:r>
        <w:rPr>
          <w:b/>
          <w:sz w:val="28"/>
          <w:szCs w:val="28"/>
          <w:lang w:val="ru-RU"/>
        </w:rPr>
        <w:t xml:space="preserve">«Жемчужина»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принима</w:t>
      </w:r>
      <w:r>
        <w:rPr>
          <w:sz w:val="28"/>
          <w:szCs w:val="28"/>
          <w:lang w:val="ru-RU"/>
        </w:rPr>
        <w:t xml:space="preserve">е</w:t>
      </w:r>
      <w:r>
        <w:rPr>
          <w:sz w:val="28"/>
          <w:szCs w:val="28"/>
          <w:lang w:val="ru-RU"/>
        </w:rPr>
        <w:t xml:space="preserve">т участие  в  театрализованных постановках, конкурсах и фестивалях различного масштаба.</w:t>
      </w:r>
      <w:r>
        <w:rPr>
          <w:sz w:val="28"/>
          <w:szCs w:val="28"/>
          <w:lang w:val="ru-RU"/>
        </w:rPr>
      </w:r>
    </w:p>
    <w:p>
      <w:pPr>
        <w:pStyle w:val="625"/>
        <w:jc w:val="both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На Втором международном многожанровом конкурсе-фестивале «Весенне вдохновение»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в 2023г. студия танца «Жемчужина»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награждена Дипломом 2 степени.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Н.Б.Верхошапова на данном конкурсе-фестивале с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тала Лауреатом 2 степени.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16"/>
        <w:jc w:val="both"/>
        <w:rPr>
          <w:rStyle w:val="1_904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:lang w:val="ru-RU"/>
        </w:rPr>
        <w:t xml:space="preserve">      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Ансамбль «Казачата» на Фестивале народного творчества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:lang w:val="ru-RU"/>
        </w:rPr>
        <w:t xml:space="preserve">в 2023г.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«Русская матрешка» удостоился звания Лауреат 3 степени.</w:t>
      </w:r>
      <w:r>
        <w:rPr>
          <w:rStyle w:val="1_904"/>
          <w:rFonts w:ascii="Times New Roman" w:hAnsi="Times New Roman" w:eastAsia="Times New Roman" w:cs="Times New Roman"/>
          <w:color w:val="auto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lang w:val="ru-RU"/>
        </w:rPr>
      </w:r>
    </w:p>
    <w:p>
      <w:pPr>
        <w:jc w:val="both"/>
        <w:rPr>
          <w:color w:val="ff0000"/>
          <w:sz w:val="28"/>
          <w:szCs w:val="28"/>
          <w:lang w:val="ru-RU"/>
        </w:rPr>
      </w:pPr>
      <w:r>
        <w:rPr>
          <w:rStyle w:val="1_904"/>
          <w:rFonts w:ascii="Arial" w:hAnsi="Arial" w:eastAsia="Arial" w:cs="Arial"/>
          <w:color w:val="auto"/>
          <w:sz w:val="24"/>
          <w:szCs w:val="24"/>
        </w:rPr>
        <w:t xml:space="preserve">     </w:t>
      </w:r>
      <w:r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>
        <w:rPr>
          <w:color w:val="ff0000"/>
          <w:sz w:val="28"/>
          <w:szCs w:val="28"/>
          <w:lang w:val="ru-RU"/>
        </w:rPr>
      </w:r>
      <w:r/>
    </w:p>
    <w:p>
      <w:pPr>
        <w:pStyle w:val="616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Коллектив студии танца</w:t>
      </w:r>
      <w:r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«Жемчужина»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616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85461" cy="3906355"/>
                <wp:effectExtent l="0" t="0" r="0" b="0"/>
                <wp:docPr id="1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185461" cy="390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08.30pt;height:307.59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61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</w:r>
    </w:p>
    <w:p>
      <w:pPr>
        <w:pStyle w:val="61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>
        <w:rPr>
          <w:sz w:val="28"/>
          <w:szCs w:val="28"/>
          <w:lang w:val="ru-RU"/>
        </w:rPr>
        <w:t xml:space="preserve">На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базе комплекса на протяжении многих лет работает известный горожанам ансамбль самодеятельного творчества </w:t>
      </w:r>
      <w:r>
        <w:rPr>
          <w:b/>
          <w:sz w:val="28"/>
          <w:szCs w:val="28"/>
          <w:lang w:val="ru-RU"/>
        </w:rPr>
        <w:t xml:space="preserve">«Льговчанка»</w:t>
      </w:r>
      <w:r>
        <w:rPr>
          <w:sz w:val="28"/>
          <w:szCs w:val="28"/>
          <w:lang w:val="ru-RU"/>
        </w:rPr>
        <w:t xml:space="preserve"> под руководством Марии Сергеевны Виноградской и Ярослава Александровича Конева.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61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616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720" cy="3237865"/>
                <wp:effectExtent l="0" t="0" r="0" b="0"/>
                <wp:docPr id="2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60720" cy="323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3.60pt;height:254.9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</w:p>
    <w:p>
      <w:pPr>
        <w:pStyle w:val="61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61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В городе успешно работает Льговское городское отделение </w:t>
      </w:r>
      <w:r>
        <w:rPr>
          <w:b/>
          <w:sz w:val="28"/>
          <w:szCs w:val="28"/>
          <w:lang w:val="ru-RU"/>
        </w:rPr>
        <w:t xml:space="preserve">"Тополь"</w:t>
      </w:r>
      <w:r>
        <w:rPr>
          <w:sz w:val="28"/>
          <w:szCs w:val="28"/>
          <w:lang w:val="ru-RU"/>
        </w:rPr>
        <w:t xml:space="preserve"> Союза курских литераторов.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61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</w:r>
    </w:p>
    <w:p>
      <w:pPr>
        <w:pStyle w:val="616"/>
        <w:rPr>
          <w:sz w:val="28"/>
          <w:szCs w:val="28"/>
        </w:rPr>
      </w:pPr>
      <w:r>
        <w:rPr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155" cy="3338665"/>
                <wp:effectExtent l="0" t="0" r="0" b="0"/>
                <wp:docPr id="3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9155" cy="333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65pt;height:262.89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6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6"/>
        <w:jc w:val="both"/>
        <w:rPr>
          <w:bCs/>
          <w:color w:val="ff0000"/>
          <w:sz w:val="28"/>
          <w:szCs w:val="28"/>
          <w:lang w:val="ru-RU"/>
        </w:rPr>
      </w:pPr>
      <w:r>
        <w:rPr>
          <w:bCs/>
          <w:color w:val="ff0000"/>
          <w:sz w:val="28"/>
          <w:szCs w:val="28"/>
          <w:lang w:val="ru-RU"/>
        </w:rPr>
      </w:r>
      <w:r>
        <w:rPr>
          <w:bCs/>
          <w:color w:val="ff0000"/>
          <w:sz w:val="28"/>
          <w:szCs w:val="28"/>
          <w:lang w:val="ru-RU"/>
        </w:rPr>
      </w:r>
    </w:p>
    <w:sectPr>
      <w:footnotePr/>
      <w:endnotePr/>
      <w:type w:val="nextPage"/>
      <w:pgSz w:w="11906" w:h="16838" w:orient="portrait"/>
      <w:pgMar w:top="851" w:right="1247" w:bottom="1134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ndale Sans UI">
    <w:panose1 w:val="02000603000000000000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6"/>
    <w:next w:val="61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6"/>
    <w:next w:val="61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6"/>
    <w:next w:val="61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6"/>
    <w:next w:val="61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6"/>
    <w:next w:val="61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6"/>
    <w:next w:val="61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6"/>
    <w:next w:val="61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6"/>
    <w:next w:val="61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6"/>
    <w:next w:val="61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6"/>
    <w:next w:val="61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6"/>
    <w:next w:val="61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6"/>
    <w:next w:val="61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6"/>
    <w:next w:val="61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6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6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6"/>
    <w:next w:val="6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6"/>
    <w:next w:val="61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6"/>
    <w:next w:val="61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6"/>
    <w:next w:val="61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6"/>
    <w:next w:val="61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6"/>
    <w:next w:val="61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6"/>
    <w:next w:val="61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6"/>
    <w:next w:val="61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6"/>
    <w:next w:val="61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6"/>
    <w:next w:val="61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6"/>
    <w:next w:val="616"/>
    <w:uiPriority w:val="99"/>
    <w:unhideWhenUsed/>
    <w:pPr>
      <w:spacing w:after="0" w:afterAutospacing="0"/>
    </w:pPr>
  </w:style>
  <w:style w:type="paragraph" w:styleId="616" w:default="1">
    <w:name w:val="Normal"/>
    <w:next w:val="616"/>
    <w:link w:val="616"/>
    <w:qFormat/>
    <w:rPr>
      <w:sz w:val="24"/>
      <w:szCs w:val="24"/>
      <w:lang w:val="en-US" w:eastAsia="ru-RU" w:bidi="ar-SA"/>
    </w:rPr>
  </w:style>
  <w:style w:type="character" w:styleId="617">
    <w:name w:val="Основной шрифт абзаца"/>
    <w:next w:val="617"/>
    <w:link w:val="616"/>
    <w:semiHidden/>
  </w:style>
  <w:style w:type="table" w:styleId="618">
    <w:name w:val="Обычная таблица"/>
    <w:next w:val="618"/>
    <w:link w:val="616"/>
    <w:semiHidden/>
    <w:tblPr/>
  </w:style>
  <w:style w:type="numbering" w:styleId="619">
    <w:name w:val="Нет списка"/>
    <w:next w:val="619"/>
    <w:link w:val="616"/>
    <w:semiHidden/>
  </w:style>
  <w:style w:type="paragraph" w:styleId="620">
    <w:name w:val="Standard"/>
    <w:next w:val="620"/>
    <w:link w:val="616"/>
    <w:pPr>
      <w:widowControl w:val="off"/>
    </w:pPr>
    <w:rPr>
      <w:rFonts w:eastAsia="Andale Sans UI" w:cs="Tahoma"/>
      <w:sz w:val="24"/>
      <w:szCs w:val="24"/>
      <w:lang w:val="de-DE" w:eastAsia="ja-JP" w:bidi="fa-IR"/>
    </w:rPr>
  </w:style>
  <w:style w:type="paragraph" w:styleId="621">
    <w:name w:val="Верхний колонтитул"/>
    <w:basedOn w:val="616"/>
    <w:next w:val="621"/>
    <w:link w:val="622"/>
    <w:uiPriority w:val="99"/>
    <w:unhideWhenUsed/>
    <w:pPr>
      <w:tabs>
        <w:tab w:val="center" w:pos="4677" w:leader="none"/>
        <w:tab w:val="right" w:pos="9355" w:leader="none"/>
      </w:tabs>
    </w:pPr>
    <w:rPr>
      <w:lang w:eastAsia="en-US"/>
    </w:rPr>
  </w:style>
  <w:style w:type="character" w:styleId="622">
    <w:name w:val="Верхний колонтитул Знак"/>
    <w:next w:val="622"/>
    <w:link w:val="621"/>
    <w:uiPriority w:val="99"/>
    <w:rPr>
      <w:sz w:val="24"/>
      <w:szCs w:val="24"/>
      <w:lang w:val="en-US"/>
    </w:rPr>
  </w:style>
  <w:style w:type="paragraph" w:styleId="623">
    <w:name w:val="Нижний колонтитул"/>
    <w:basedOn w:val="616"/>
    <w:next w:val="623"/>
    <w:link w:val="624"/>
    <w:uiPriority w:val="99"/>
    <w:unhideWhenUsed/>
    <w:pPr>
      <w:tabs>
        <w:tab w:val="center" w:pos="4677" w:leader="none"/>
        <w:tab w:val="right" w:pos="9355" w:leader="none"/>
      </w:tabs>
    </w:pPr>
    <w:rPr>
      <w:lang w:eastAsia="en-US"/>
    </w:rPr>
  </w:style>
  <w:style w:type="character" w:styleId="624">
    <w:name w:val="Нижний колонтитул Знак"/>
    <w:next w:val="624"/>
    <w:link w:val="623"/>
    <w:uiPriority w:val="99"/>
    <w:rPr>
      <w:sz w:val="24"/>
      <w:szCs w:val="24"/>
      <w:lang w:val="en-US"/>
    </w:rPr>
  </w:style>
  <w:style w:type="paragraph" w:styleId="625">
    <w:name w:val="Обычный (веб),Обычный (Web)"/>
    <w:basedOn w:val="616"/>
    <w:next w:val="625"/>
    <w:link w:val="616"/>
    <w:unhideWhenUsed/>
    <w:qFormat/>
    <w:pPr>
      <w:spacing w:before="100" w:beforeAutospacing="1" w:after="100" w:afterAutospacing="1"/>
    </w:pPr>
    <w:rPr>
      <w:lang w:val="ru-RU"/>
    </w:rPr>
  </w:style>
  <w:style w:type="character" w:styleId="820" w:default="1">
    <w:name w:val="Default Paragraph Font"/>
    <w:uiPriority w:val="1"/>
    <w:semiHidden/>
    <w:unhideWhenUsed/>
  </w:style>
  <w:style w:type="numbering" w:styleId="821" w:default="1">
    <w:name w:val="No List"/>
    <w:uiPriority w:val="99"/>
    <w:semiHidden/>
    <w:unhideWhenUsed/>
  </w:style>
  <w:style w:type="table" w:styleId="822" w:default="1">
    <w:name w:val="Normal Table"/>
    <w:uiPriority w:val="99"/>
    <w:semiHidden/>
    <w:unhideWhenUsed/>
    <w:tblPr/>
  </w:style>
  <w:style w:type="character" w:styleId="1_904" w:customStyle="1">
    <w:name w:val="Font Style40"/>
    <w:basedOn w:val="878"/>
    <w:next w:val="911"/>
    <w:link w:val="876"/>
    <w:uiPriority w:val="99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emf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revision>28</cp:revision>
  <dcterms:created xsi:type="dcterms:W3CDTF">2012-10-26T05:52:00Z</dcterms:created>
  <dcterms:modified xsi:type="dcterms:W3CDTF">2024-07-01T11:49:45Z</dcterms:modified>
  <cp:version>786432</cp:version>
</cp:coreProperties>
</file>