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center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2356" cy="732434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6207702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2356" cy="732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7.7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color w:val="000000" w:themeColor="text1"/>
        </w:rPr>
      </w:r>
      <w:r/>
    </w:p>
    <w:p>
      <w:pPr>
        <w:pStyle w:val="882"/>
        <w:ind w:left="2410" w:right="1087" w:hanging="1488"/>
        <w:spacing w:before="48" w:line="240" w:lineRule="auto"/>
        <w:shd w:val="clear" w:color="auto" w:fill="ffffff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Администрация города Льгова</w:t>
      </w:r>
      <w:r>
        <w:rPr>
          <w:color w:val="000000" w:themeColor="text1"/>
        </w:rPr>
      </w:r>
      <w:r/>
    </w:p>
    <w:p>
      <w:pPr>
        <w:pStyle w:val="882"/>
        <w:ind w:left="2410" w:right="1087" w:hanging="1488"/>
        <w:spacing w:before="48" w:line="240" w:lineRule="auto"/>
        <w:shd w:val="clear" w:color="auto" w:fill="ffffff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Курской области</w:t>
      </w:r>
      <w:r>
        <w:rPr>
          <w:color w:val="000000" w:themeColor="text1"/>
        </w:rPr>
      </w:r>
      <w:r/>
    </w:p>
    <w:p>
      <w:pPr>
        <w:pStyle w:val="882"/>
        <w:ind w:left="2410" w:right="1087" w:hanging="1488"/>
        <w:spacing w:before="48" w:line="240" w:lineRule="auto"/>
        <w:shd w:val="clear" w:color="auto" w:fill="ffffff"/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</w:r>
      <w:r>
        <w:rPr>
          <w:color w:val="000000" w:themeColor="text1"/>
        </w:rPr>
      </w:r>
      <w:r/>
    </w:p>
    <w:p>
      <w:pPr>
        <w:pStyle w:val="882"/>
        <w:ind w:right="-1"/>
        <w:spacing w:before="48" w:line="240" w:lineRule="auto"/>
        <w:shd w:val="clear" w:color="auto" w:fill="ffffff"/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ПОСТАНОВЛЕНИЕ</w:t>
      </w:r>
      <w:r>
        <w:rPr>
          <w:color w:val="000000" w:themeColor="text1"/>
        </w:rPr>
      </w:r>
      <w:r/>
    </w:p>
    <w:p>
      <w:pPr>
        <w:pStyle w:val="887"/>
        <w:jc w:val="left"/>
        <w:spacing w:before="28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</w:r>
      <w:r>
        <w:rPr>
          <w:color w:val="000000" w:themeColor="text1"/>
        </w:rPr>
      </w:r>
      <w:r/>
    </w:p>
    <w:p>
      <w:pPr>
        <w:pStyle w:val="882"/>
        <w:ind w:left="2410" w:right="1087" w:hanging="1488"/>
        <w:jc w:val="center"/>
        <w:spacing w:before="48" w:line="240" w:lineRule="auto"/>
        <w:shd w:val="clear" w:color="auto" w:fill="ffffff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от</w:t>
      </w: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  09</w:t>
      </w: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.09.2024 </w:t>
      </w: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г. №</w:t>
      </w: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 1171</w:t>
      </w:r>
      <w:r>
        <w:rPr>
          <w:color w:val="000000" w:themeColor="text1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</w:r>
      <w:r>
        <w:rPr>
          <w:color w:val="000000" w:themeColor="text1"/>
        </w:rPr>
      </w:r>
      <w:r/>
    </w:p>
    <w:p>
      <w:pPr>
        <w:ind w:left="0" w:firstLine="0"/>
        <w:jc w:val="center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 дополнительных мерах социальной поддержки</w:t>
      </w:r>
      <w:r>
        <w:rPr>
          <w:color w:val="000000" w:themeColor="text1"/>
        </w:rPr>
      </w:r>
      <w:r/>
    </w:p>
    <w:p>
      <w:pPr>
        <w:ind w:left="0" w:firstLine="0"/>
        <w:jc w:val="both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В целях социальной поддержки семей участников специальной военной операции, проводимой на территориях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Украины, Донецкой Народной Республики, Луганской Народной Республики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Запорожской области, Херсонской области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и в соответствии с постановлением Губернатора Курс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ко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й области от 13.10.2022 г. № 298-пг «О дополнительных мерах социальной поддержки» (в редакции постановлений Губернатора Курской области от 21.11.2022      № 356-пг, от 23.12.2022 № 441-пг, от 19.01.2023 № 31-пг, от 13.10.2022 г. № 298-пг) Администрация города Льгова Курской области 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ПОСТАНОВЛЯЕ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Т: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1. Семьям участников специальной военной операции,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проводимой на территориях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Украины, Донецкой Народной Республики, Луганской Народной Республики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Запорожской области, Херсонской области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(далее соответственно – семья участника специальной военной операции, участник специальной военной операции, специальная военная операция), постоянно проживающим на территории Курской области,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установить следующие дополнительные меры социальной поддержки:</w:t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1) создание межведомственной комиссии по вопросам оказания поддержки семьям участников специальной военной операции;</w:t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2) зачисление в  первоочередном, преимущественном порядке детей участников специальной военной операции (в том числе в случае гибели (смерти) участников специальной военной операции) по достижении ими возраста полутора лет в муниципальные образовательные организации, реализующие образовательные программы дошкольного образования;</w:t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3)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предоставление внеочередного права на перевод ребенка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участника специальной военной операции (в том числе в случае гибели (смерти) участника специальной военной операции)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в другую, наиболее приближенную к месту жительства семьи, муниципальную образовательную организацию, реализующую образовательные программы дошкольного образования;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4) предоставление внеочередного права на перевод ребенка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участника специальной военной операции (в том числе в случае гибели (смерти) участника специальной военной операции)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в другую, наиболее приближенную к месту жительства семьи, муниципальную образовательную организацию, реализующую образовательные программы начального общего, основного общего, среднего общего образования;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5) освобождение от платы, взимаемой за присмотр и уход за детьми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участников специальной военной операции (в том числе в случае гибели (смерти) участников специальной военной операции)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в муниципальных образовательных организациях, реализующих образовательную программу дошкольного образования;</w:t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6) предоставление бесплатного двухразового горячего питания (завтрак, обед)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детям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участников специальной военной операции (в том числе в случае гибели (смерти) участников специальной военной операции)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обучающимся в 1-11 классах в муниципальных образовательных организациях (включая предоставление продуктового набора взамен бесплатного горячего питания при организации образовательного процесса с применением электронного обучения и дистанционных образовательных технологий;</w:t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7) обеспечение зачисления в первоочередном порядке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детей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участников специальной военной операции (в том числе в случае гибели (смерти) участников специальной военной операции)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в группы продленного дня в муниципальных образовательных организациях, реализующих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образовательные программы начального общего, основного общего, среднего общего образования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;</w:t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8)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освобождение от платы, взимаемой за присмотр и уход за детьми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участников специальной военной операции (в том числе в случае гибели (смерти) участников специальной военной операции)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в группах продленного дня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в муниципальных образовательных организациях, реализующих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образовательные программы начального общего, основного общего, среднего общего образования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;</w:t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9) предоставление детям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участников специальной военной операции (в том числе в случае гибели (смерти) участников специальной военной операции)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бесплатного посещения занятий (кружки, секции и иные подобные занятия) по дополнительным общеобразовательным программам в муниципальных организациях;</w:t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10) предоставление льготного посещения мероприятий, проводимых муниципальными организациями куольтуры.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2. Установить, что: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722"/>
        <w:numPr>
          <w:ilvl w:val="0"/>
          <w:numId w:val="36"/>
        </w:num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дополнительные меры социальной поддержки, указанные в подпунктах 1 - 10 пункта 1 настоящего постановления, распространяются на семьи участников специаьной военной операции, являющихся гражданами Российской Федерации, из числа:</w:t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а) граждан, призванных на военную службу и службу в войсках национальной гвардии по мобилизации на основании указов Президента Российской Федерации;</w:t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б) граждан, постоянно проживающих на территории Курской области, заключивших контракт о прохождении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военной службы с Министерством обороны Российской Федерации или находящихся на службе в национальной гвардии;</w:t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в)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граждан, постоянно проживающих на территории Курской области, заключивших контракт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о добровольном содействии в выполнении задач, возложенных на Вооруженные Силы Российской Федерации ил национальную гвардию;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г) иных лиц, которые по заданию федерального органа исполнительной власти, Следственного комитета Российской Федерации, органив прокуратуры Российской Федерации выполняют задачи, обеспечивают выполнение или содействуют выполнению задач в ходе проведения специальной военной операции;</w:t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2)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обращение за дополнительными мерами социальной поддержки, предусмотренными пунктом 1 настоящего постановления, осуществляется не ранее чем со дня убытия участника специальной военной операции в места сбора и (или) на пункты (места) приема военнослужащих, призванных на военную сл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ужбу по мобилизации;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3) предоставление дополнительных мер социальной поддержки, предусмотренных пунктом 1 настоящего постановления, осуществляется в период участия участника специальной военной операции в специальной военной операции.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</w:p>
    <w:p>
      <w:pPr>
        <w:ind w:left="0" w:right="0" w:firstLine="480"/>
        <w:jc w:val="both"/>
        <w:spacing w:before="0" w:after="0"/>
        <w:shd w:val="clear" w:color="ffffff" w:fill="ffffff"/>
        <w:rPr>
          <w:rFonts w:ascii="Arial" w:hAnsi="Arial" w:cs="Arial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В случае гибели (смерти) участника специальной военной операции при выполнении задач в период.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882"/>
        <w:ind w:left="0" w:right="0" w:firstLine="480"/>
        <w:jc w:val="both"/>
        <w:spacing w:before="48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3.</w:t>
      </w:r>
      <w:r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Постановление Администрации города Льгова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Курской области </w:t>
      </w:r>
      <w:r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от</w:t>
      </w:r>
      <w:r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 20</w:t>
      </w:r>
      <w:r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.09.2023 </w:t>
      </w:r>
      <w:r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г. №</w:t>
      </w:r>
      <w:r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1373 «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О дополнительных мерах социальной поддержки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» считать утрат</w:t>
      </w:r>
      <w:r>
        <w:rPr>
          <w:rFonts w:ascii="Arial" w:hAnsi="Arial" w:cs="Arial"/>
          <w:sz w:val="24"/>
          <w:szCs w:val="24"/>
        </w:rPr>
        <w:t xml:space="preserve">ившим силу.</w:t>
      </w:r>
      <w:r>
        <w:rPr>
          <w:rFonts w:ascii="Arial" w:hAnsi="Arial" w:cs="Arial"/>
          <w:b/>
          <w:color w:val="000000" w:themeColor="text1"/>
          <w:sz w:val="24"/>
          <w:szCs w:val="24"/>
        </w:rPr>
      </w:r>
    </w:p>
    <w:p>
      <w:pPr>
        <w:ind w:left="0" w:right="0" w:firstLine="480"/>
        <w:jc w:val="both"/>
        <w:spacing w:before="48" w:line="240" w:lineRule="auto"/>
        <w:shd w:val="clear" w:color="auto" w:fill="ffffff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Настоящее постановление вступает в силу с момента его подписания и распространяется на правоотношения, возникшие с 29.08.2024 г.</w:t>
      </w:r>
      <w:r>
        <w:rPr>
          <w:rFonts w:ascii="Arial" w:hAnsi="Arial" w:cs="Arial"/>
          <w:b/>
          <w:color w:val="000000" w:themeColor="text1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ind w:left="0" w:firstLine="0"/>
        <w:jc w:val="both"/>
        <w:spacing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  <w:r/>
    </w:p>
    <w:p>
      <w:pPr>
        <w:pStyle w:val="887"/>
        <w:ind w:firstLine="0"/>
        <w:jc w:val="center"/>
      </w:pPr>
      <w:r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Глава города Льгова                                                       А. С. Клемешов</w:t>
      </w:r>
      <w:r>
        <w:rPr>
          <w:rFonts w:ascii="Arial" w:hAnsi="Arial" w:cs="Arial"/>
          <w:bCs w:val="0"/>
          <w:highlight w:val="none"/>
        </w:rPr>
      </w:r>
      <w:r/>
      <w:r>
        <w:rPr>
          <w:b w:val="0"/>
          <w:bCs w:val="0"/>
          <w:i w:val="0"/>
          <w:sz w:val="24"/>
          <w:szCs w:val="24"/>
        </w:rPr>
      </w:r>
      <w:r>
        <w:rPr>
          <w:b w:val="0"/>
          <w:bCs w:val="0"/>
          <w:i w:val="0"/>
          <w:sz w:val="24"/>
          <w:szCs w:val="24"/>
        </w:rPr>
      </w:r>
      <w:r/>
    </w:p>
    <w:p>
      <w:pPr>
        <w:contextualSpacing/>
        <w:ind w:left="5670" w:firstLine="709"/>
        <w:jc w:val="center"/>
        <w:spacing w:after="200" w:line="276" w:lineRule="auto"/>
        <w:widowControl w:val="off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</w:r>
      <w:r>
        <w:rPr>
          <w:color w:val="000000" w:themeColor="text1"/>
        </w:rPr>
      </w:r>
      <w:r/>
    </w:p>
    <w:sectPr>
      <w:footnotePr/>
      <w:endnotePr/>
      <w:type w:val="nextPage"/>
      <w:pgSz w:w="11906" w:h="16838" w:orient="portrait"/>
      <w:pgMar w:top="1134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435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365" w:hanging="360"/>
        <w:tabs>
          <w:tab w:val="num" w:pos="136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085" w:hanging="180"/>
        <w:tabs>
          <w:tab w:val="num" w:pos="208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05" w:hanging="360"/>
        <w:tabs>
          <w:tab w:val="num" w:pos="280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525" w:hanging="360"/>
        <w:tabs>
          <w:tab w:val="num" w:pos="352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245" w:hanging="180"/>
        <w:tabs>
          <w:tab w:val="num" w:pos="424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4965" w:hanging="360"/>
        <w:tabs>
          <w:tab w:val="num" w:pos="496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685" w:hanging="360"/>
        <w:tabs>
          <w:tab w:val="num" w:pos="568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05" w:hanging="180"/>
        <w:tabs>
          <w:tab w:val="num" w:pos="640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74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7874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1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-60" w:hanging="61"/>
        <w:tabs>
          <w:tab w:val="num" w:pos="0" w:leader="none"/>
        </w:tabs>
      </w:pPr>
      <w:rPr>
        <w:rFonts w:ascii="Times New Roman" w:hAnsi="Times New Roman" w:cs="Times New Roman"/>
        <w:b w:val="0"/>
        <w:strike w:val="0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russianLower"/>
      <w:isLgl w:val="false"/>
      <w:suff w:val="tab"/>
      <w:lvlText w:val="%3)"/>
      <w:lvlJc w:val="left"/>
      <w:pPr>
        <w:ind w:left="2160" w:hanging="180"/>
        <w:tabs>
          <w:tab w:val="num" w:pos="0" w:leader="none"/>
        </w:tabs>
      </w:pPr>
      <w:rPr>
        <w:sz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601" w:hanging="61"/>
        <w:tabs>
          <w:tab w:val="num" w:pos="0" w:leader="none"/>
        </w:tabs>
      </w:pPr>
      <w:rPr>
        <w:rFonts w:ascii="Times New Roman" w:hAnsi="Times New Roman" w:cs="Times New Roman"/>
        <w:b w:val="0"/>
        <w:strike w:val="0"/>
        <w:sz w:val="24"/>
        <w:szCs w:val="24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29" w:hanging="360"/>
        <w:tabs>
          <w:tab w:val="num" w:pos="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29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9" w:hanging="61"/>
        <w:tabs>
          <w:tab w:val="num" w:pos="0" w:leader="none"/>
        </w:tabs>
      </w:pPr>
      <w:rPr>
        <w:rFonts w:cs="Times New Roman"/>
        <w:b w:val="0"/>
        <w:strike w:val="0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29" w:hanging="360"/>
        <w:tabs>
          <w:tab w:val="num" w:pos="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4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  <w:rPr>
        <w:rFonts w:cs="Times New Roman"/>
        <w:color w:val="auto"/>
        <w:sz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660"/>
        <w:tabs>
          <w:tab w:val="num" w:pos="0" w:leader="none"/>
        </w:tabs>
      </w:pPr>
      <w:rPr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1" w:hanging="732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  <w:rPr>
        <w:rFonts w:cs="Times New Roman"/>
        <w:color w:val="auto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  <w:tabs>
          <w:tab w:val="num" w:pos="0" w:leader="none"/>
        </w:tabs>
      </w:pPr>
      <w:rPr>
        <w:rFonts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0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2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4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6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8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0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2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4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pPr>
      <w:jc w:val="center"/>
      <w:spacing w:before="160"/>
      <w:widowControl w:val="off"/>
    </w:pPr>
    <w:rPr>
      <w:sz w:val="40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/>
      <w:spacing w:line="360" w:lineRule="auto"/>
      <w:outlineLvl w:val="0"/>
    </w:pPr>
    <w:rPr>
      <w:b/>
    </w:rPr>
  </w:style>
  <w:style w:type="character" w:styleId="884">
    <w:name w:val="Основной шрифт абзаца"/>
    <w:next w:val="884"/>
    <w:link w:val="882"/>
    <w:semiHidden/>
  </w:style>
  <w:style w:type="table" w:styleId="885">
    <w:name w:val="Обычная таблица"/>
    <w:next w:val="885"/>
    <w:link w:val="882"/>
    <w:semiHidden/>
    <w:tblPr/>
  </w:style>
  <w:style w:type="numbering" w:styleId="886">
    <w:name w:val="Нет списка"/>
    <w:next w:val="886"/>
    <w:link w:val="882"/>
    <w:semiHidden/>
  </w:style>
  <w:style w:type="paragraph" w:styleId="887">
    <w:name w:val="FR2"/>
    <w:next w:val="887"/>
    <w:link w:val="882"/>
    <w:pPr>
      <w:jc w:val="both"/>
      <w:widowControl w:val="off"/>
    </w:pPr>
    <w:rPr>
      <w:b/>
      <w:i/>
      <w:sz w:val="12"/>
      <w:lang w:val="ru-RU" w:eastAsia="ru-RU" w:bidi="ar-SA"/>
    </w:rPr>
  </w:style>
  <w:style w:type="paragraph" w:styleId="888">
    <w:name w:val="FR1"/>
    <w:next w:val="888"/>
    <w:link w:val="882"/>
    <w:pPr>
      <w:ind w:left="40"/>
      <w:jc w:val="center"/>
      <w:spacing w:before="280"/>
      <w:widowControl w:val="off"/>
    </w:pPr>
    <w:rPr>
      <w:rFonts w:ascii="Arial" w:hAnsi="Arial"/>
      <w:sz w:val="44"/>
      <w:lang w:val="ru-RU" w:eastAsia="ru-RU" w:bidi="ar-SA"/>
    </w:rPr>
  </w:style>
  <w:style w:type="paragraph" w:styleId="889">
    <w:name w:val="Текст сноски"/>
    <w:basedOn w:val="882"/>
    <w:next w:val="889"/>
    <w:link w:val="890"/>
    <w:uiPriority w:val="99"/>
    <w:pPr>
      <w:jc w:val="left"/>
      <w:spacing w:before="0"/>
      <w:widowControl/>
    </w:pPr>
    <w:rPr>
      <w:sz w:val="20"/>
    </w:rPr>
  </w:style>
  <w:style w:type="character" w:styleId="890">
    <w:name w:val="Текст сноски Знак"/>
    <w:basedOn w:val="884"/>
    <w:next w:val="890"/>
    <w:link w:val="889"/>
    <w:uiPriority w:val="99"/>
  </w:style>
  <w:style w:type="character" w:styleId="891">
    <w:name w:val="Знак сноски"/>
    <w:next w:val="891"/>
    <w:link w:val="882"/>
    <w:uiPriority w:val="99"/>
    <w:rPr>
      <w:vertAlign w:val="superscript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  <w:style w:type="character" w:styleId="895" w:customStyle="1">
    <w:name w:val="Не вступил в силу"/>
    <w:rPr>
      <w:color w:val="008080"/>
      <w:sz w:val="22"/>
      <w:szCs w:val="22"/>
    </w:rPr>
  </w:style>
  <w:style w:type="character" w:styleId="896" w:customStyle="1">
    <w:name w:val="Гипертекстовая ссылка"/>
    <w:basedOn w:val="772"/>
    <w:uiPriority w:val="99"/>
    <w:rPr>
      <w:rFonts w:cs="Times New Roman"/>
      <w:b w:val="0"/>
      <w:color w:val="106bbe"/>
    </w:rPr>
  </w:style>
  <w:style w:type="character" w:styleId="897" w:customStyle="1">
    <w:name w:val="Абзац списка Знак"/>
    <w:basedOn w:val="857"/>
    <w:qFormat/>
  </w:style>
  <w:style w:type="character" w:styleId="898" w:customStyle="1">
    <w:name w:val="Основной текст (2)"/>
    <w:basedOn w:val="857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6"/>
      <w:szCs w:val="26"/>
      <w:u w:val="none"/>
      <w:lang w:val="ru-RU" w:eastAsia="ru-RU" w:bidi="ru-RU"/>
    </w:rPr>
  </w:style>
  <w:style w:type="paragraph" w:styleId="899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0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TestOnly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creator>User</dc:creator>
  <cp:revision>30</cp:revision>
  <dcterms:created xsi:type="dcterms:W3CDTF">2022-09-20T11:41:00Z</dcterms:created>
  <dcterms:modified xsi:type="dcterms:W3CDTF">2024-09-10T12:06:34Z</dcterms:modified>
  <cp:version>917504</cp:version>
</cp:coreProperties>
</file>