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2356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8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</w:rPr>
      </w:r>
      <w:r/>
    </w:p>
    <w:p>
      <w:pPr>
        <w:pStyle w:val="830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830"/>
        <w:ind w:left="2410" w:right="1087" w:hanging="1488"/>
        <w:jc w:val="center"/>
        <w:spacing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Администрация города Льгова</w:t>
      </w:r>
      <w:r>
        <w:rPr>
          <w:rFonts w:ascii="Arial" w:hAnsi="Arial" w:cs="Arial"/>
        </w:rPr>
      </w:r>
      <w:r/>
    </w:p>
    <w:p>
      <w:pPr>
        <w:pStyle w:val="830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Курской области</w:t>
      </w:r>
      <w:r>
        <w:rPr>
          <w:rFonts w:ascii="Arial" w:hAnsi="Arial" w:cs="Arial"/>
        </w:rPr>
      </w:r>
      <w:r/>
    </w:p>
    <w:p>
      <w:pPr>
        <w:pStyle w:val="830"/>
        <w:ind w:left="2467"/>
        <w:spacing w:before="25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  <w:sz w:val="46"/>
          <w:szCs w:val="46"/>
        </w:rPr>
        <w:t xml:space="preserve">ПОСТАНОВЛЕНИЕ</w:t>
      </w:r>
      <w:r>
        <w:rPr>
          <w:rFonts w:ascii="Arial" w:hAnsi="Arial" w:cs="Arial"/>
        </w:rPr>
      </w:r>
      <w:r/>
    </w:p>
    <w:p>
      <w:pPr>
        <w:pStyle w:val="830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b/>
          <w:bCs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</w:t>
      </w:r>
      <w:r>
        <w:rPr>
          <w:rFonts w:ascii="Arial" w:hAnsi="Arial" w:cs="Arial"/>
          <w:b/>
          <w:spacing w:val="-6"/>
          <w:sz w:val="32"/>
          <w:szCs w:val="32"/>
        </w:rPr>
        <w:t xml:space="preserve">т 18.11.2024  г.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 xml:space="preserve">1312</w:t>
      </w:r>
      <w:r>
        <w:rPr>
          <w:rFonts w:ascii="Arial" w:hAnsi="Arial" w:cs="Arial"/>
          <w:sz w:val="32"/>
          <w:szCs w:val="32"/>
        </w:rPr>
      </w:r>
      <w:r/>
    </w:p>
    <w:p>
      <w:pPr>
        <w:pStyle w:val="830"/>
        <w:ind w:right="-2"/>
        <w:widowControl w:val="off"/>
        <w:rPr>
          <w:rFonts w:ascii="Arial" w:hAnsi="Arial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  <w:lang w:eastAsia="en-US"/>
        </w:rPr>
      </w:r>
      <w:r>
        <w:rPr>
          <w:rFonts w:ascii="Arial" w:hAnsi="Arial" w:cs="Arial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Об утверждении базовых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нормативных затрат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на оказание муниципальных услуг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в МО «Город Льгов», муниципальными образовательными организациями дополнительного образования и образовательными организациями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,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реализующими дополнительные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обще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развивающие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программ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ы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на 20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2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5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год.</w:t>
      </w:r>
      <w:r>
        <w:rPr>
          <w:rFonts w:ascii="Arial" w:hAnsi="Arial" w:cs="Arial"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eastAsia="Times New Roman" w:cs="Arial"/>
          <w:b/>
          <w:sz w:val="28"/>
          <w:szCs w:val="28"/>
          <w:lang w:eastAsia="ar-SA"/>
        </w:rPr>
      </w:r>
      <w:r>
        <w:rPr>
          <w:rFonts w:ascii="Arial" w:hAnsi="Arial" w:cs="Arial"/>
        </w:rPr>
      </w:r>
      <w:r/>
    </w:p>
    <w:p>
      <w:pPr>
        <w:ind w:firstLine="708"/>
        <w:jc w:val="bot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 основании Порядка определения нормативных затрат на оказание муниципальной услуги в соответствии с социальным сертификатом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утвержденного Постановлением Администрации </w:t>
      </w:r>
      <w:r>
        <w:rPr>
          <w:rFonts w:ascii="Arial" w:hAnsi="Arial" w:cs="Arial"/>
          <w:sz w:val="24"/>
          <w:szCs w:val="24"/>
          <w:lang w:eastAsia="ar-SA"/>
        </w:rPr>
        <w:t xml:space="preserve">города Льгова Курской области № 1731 от 14.11.2023</w:t>
      </w:r>
      <w:r>
        <w:rPr>
          <w:rFonts w:ascii="Arial" w:hAnsi="Arial" w:cs="Arial"/>
          <w:sz w:val="24"/>
          <w:szCs w:val="24"/>
          <w:lang w:eastAsia="ar-SA"/>
        </w:rPr>
        <w:t xml:space="preserve">, Администрация города Льгова Курской области,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ПОСТАНОВЛЯЕТ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1.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базовые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нормативные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затрат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ы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на оказание муниципальных услуг в МО «Город Льгов», муниципальными образовательными организациями дополнительного образования и образовательными организациями, реализующими дополнительные общеразвивающие программы на 2025 год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1)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2.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отраслевые коэффициенты, применяемые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оказание муниципальных услуг по реализации дополнительных общеразвивающих программ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2025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2).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360" w:lineRule="auto"/>
        <w:rPr>
          <w:rFonts w:ascii="Arial" w:hAnsi="Arial" w:eastAsia="Times New Roman" w:cs="Arial"/>
          <w:sz w:val="24"/>
          <w:szCs w:val="24"/>
          <w:highlight w:val="none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3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Контроль за исполнением Постановление возложить на заместителя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Главы Администрации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города Льгова Курской области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Горину Н.В.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 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ar-SA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ar-SA"/>
        </w:rPr>
      </w:r>
      <w:r/>
    </w:p>
    <w:p>
      <w:pPr>
        <w:ind w:firstLine="70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города Льгова                                </w:t>
      </w:r>
      <w:r>
        <w:rPr>
          <w:rFonts w:ascii="Arial" w:hAnsi="Arial" w:cs="Arial"/>
          <w:sz w:val="24"/>
          <w:szCs w:val="24"/>
        </w:rPr>
        <w:t xml:space="preserve">                   А.С. </w:t>
      </w:r>
      <w:r>
        <w:rPr>
          <w:rFonts w:ascii="Arial" w:hAnsi="Arial" w:cs="Arial"/>
          <w:sz w:val="24"/>
          <w:szCs w:val="24"/>
        </w:rPr>
        <w:t xml:space="preserve">Клемешов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8"/>
          <w:szCs w:val="28"/>
          <w:lang w:eastAsia="ar-SA"/>
        </w:rPr>
        <w:br w:type="page" w:clear="all"/>
      </w: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  <w:r/>
    </w:p>
    <w:p>
      <w:pPr>
        <w:pStyle w:val="670"/>
        <w:ind w:left="4962"/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 18.11</w:t>
      </w:r>
      <w:r>
        <w:rPr>
          <w:rFonts w:ascii="Arial" w:hAnsi="Arial" w:cs="Arial"/>
          <w:sz w:val="24"/>
          <w:szCs w:val="24"/>
        </w:rPr>
        <w:t xml:space="preserve">.202</w:t>
      </w:r>
      <w:r>
        <w:rPr>
          <w:rFonts w:ascii="Arial" w:hAnsi="Arial" w:cs="Arial"/>
          <w:sz w:val="24"/>
          <w:szCs w:val="24"/>
        </w:rPr>
        <w:t xml:space="preserve">4   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1312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Базовые нормативные затраты на оказание муниципальных услуг в МО «Город Льгов» по реализации дополнительных 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общеразвивающих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программ 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на 2025 год.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86"/>
        <w:tblW w:w="4941" w:type="pct"/>
        <w:tblInd w:w="-147" w:type="dxa"/>
        <w:tblLook w:val="04A0" w:firstRow="1" w:lastRow="0" w:firstColumn="1" w:lastColumn="0" w:noHBand="0" w:noVBand="1"/>
      </w:tblPr>
      <w:tblGrid>
        <w:gridCol w:w="6054"/>
        <w:gridCol w:w="1978"/>
        <w:gridCol w:w="1986"/>
      </w:tblGrid>
      <w:tr>
        <w:trPr>
          <w:trHeight w:val="1108"/>
        </w:trPr>
        <w:tc>
          <w:tcPr>
            <w:tcW w:w="302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Направленности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Единицы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Значение параметра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на человеко-час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0" w:name="undefined"/>
            <w:r>
              <w:rPr>
                <w:rFonts w:ascii="Arial" w:hAnsi="Arial" w:eastAsia="Calibri" w:cs="Arial"/>
                <w:sz w:val="24"/>
                <w:szCs w:val="24"/>
              </w:rPr>
              <w:t xml:space="preserve">Техническая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Рублей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Естественнонаучная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Художественная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Туристско-краеведческая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Физкультурно-спортивная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Социально-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гуманитарная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106,03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  <w:r/>
    </w:p>
    <w:p>
      <w:pPr>
        <w:pStyle w:val="670"/>
        <w:ind w:left="4962"/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 18.11</w:t>
      </w:r>
      <w:r>
        <w:rPr>
          <w:rFonts w:ascii="Arial" w:hAnsi="Arial" w:cs="Arial"/>
          <w:sz w:val="24"/>
          <w:szCs w:val="24"/>
        </w:rPr>
        <w:t xml:space="preserve">.202</w:t>
      </w:r>
      <w:r>
        <w:rPr>
          <w:rFonts w:ascii="Arial" w:hAnsi="Arial" w:cs="Arial"/>
          <w:sz w:val="24"/>
          <w:szCs w:val="24"/>
        </w:rPr>
        <w:t xml:space="preserve">4   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1312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Отраслевые коэффициенты, применяемые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оказание муниципальных услуг по реализации дополнительных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об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щеразвивающих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программ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eastAsia="Calibri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муниципальном образовании «Город Льгов»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2025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Значение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Адаптированная программа для детей с ОВЗ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дистанционной форме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очно-заочной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форме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widowControl w:val="off"/>
        <w:tabs>
          <w:tab w:val="left" w:pos="4320" w:leader="none"/>
          <w:tab w:val="left" w:pos="936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30"/>
      </w:pPr>
      <w:rPr>
        <w:rFonts w:ascii="Times New Roman" w:hAnsi="Times New Roman" w:cs="Times New Roman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86" w:hanging="360"/>
        <w:tabs>
          <w:tab w:val="num" w:pos="786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31">
    <w:name w:val="Заголовок 1"/>
    <w:basedOn w:val="830"/>
    <w:next w:val="830"/>
    <w:link w:val="856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832">
    <w:name w:val="Заголовок 2"/>
    <w:basedOn w:val="830"/>
    <w:next w:val="830"/>
    <w:link w:val="836"/>
    <w:qFormat/>
    <w:pPr>
      <w:jc w:val="both"/>
      <w:keepNext/>
      <w:outlineLvl w:val="1"/>
    </w:pPr>
    <w:rPr>
      <w:sz w:val="28"/>
      <w:lang w:val="en-US"/>
    </w:rPr>
  </w:style>
  <w:style w:type="character" w:styleId="833">
    <w:name w:val="Основной шрифт абзаца"/>
    <w:next w:val="833"/>
    <w:link w:val="830"/>
    <w:uiPriority w:val="1"/>
    <w:unhideWhenUsed/>
  </w:style>
  <w:style w:type="table" w:styleId="834">
    <w:name w:val="Обычная таблица"/>
    <w:next w:val="834"/>
    <w:link w:val="830"/>
    <w:uiPriority w:val="99"/>
    <w:semiHidden/>
    <w:unhideWhenUsed/>
    <w:qFormat/>
    <w:tblPr/>
  </w:style>
  <w:style w:type="numbering" w:styleId="835">
    <w:name w:val="Нет списка"/>
    <w:next w:val="835"/>
    <w:link w:val="830"/>
    <w:uiPriority w:val="99"/>
    <w:semiHidden/>
    <w:unhideWhenUsed/>
  </w:style>
  <w:style w:type="character" w:styleId="836">
    <w:name w:val="Заголовок 2 Знак"/>
    <w:next w:val="836"/>
    <w:link w:val="83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7">
    <w:name w:val="Гиперссылка"/>
    <w:next w:val="837"/>
    <w:link w:val="830"/>
    <w:rPr>
      <w:color w:val="0000ff"/>
      <w:u w:val="single"/>
    </w:rPr>
  </w:style>
  <w:style w:type="paragraph" w:styleId="838">
    <w:name w:val="заголовок 1"/>
    <w:basedOn w:val="830"/>
    <w:next w:val="830"/>
    <w:link w:val="830"/>
    <w:pPr>
      <w:jc w:val="center"/>
      <w:keepNext/>
    </w:pPr>
    <w:rPr>
      <w:b/>
      <w:spacing w:val="80"/>
      <w:sz w:val="40"/>
      <w:szCs w:val="20"/>
    </w:rPr>
  </w:style>
  <w:style w:type="paragraph" w:styleId="839">
    <w:name w:val="ConsPlusNormal"/>
    <w:next w:val="839"/>
    <w:link w:val="830"/>
    <w:uiPriority w:val="9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40">
    <w:name w:val="Основной текст 2"/>
    <w:basedOn w:val="830"/>
    <w:next w:val="840"/>
    <w:link w:val="841"/>
    <w:pPr>
      <w:spacing w:after="120" w:line="480" w:lineRule="auto"/>
    </w:pPr>
    <w:rPr>
      <w:lang w:val="en-US"/>
    </w:rPr>
  </w:style>
  <w:style w:type="character" w:styleId="841">
    <w:name w:val="Основной текст 2 Знак"/>
    <w:next w:val="841"/>
    <w:link w:val="84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Основной текст с отступом 2"/>
    <w:basedOn w:val="830"/>
    <w:next w:val="842"/>
    <w:link w:val="843"/>
    <w:pPr>
      <w:ind w:left="283"/>
      <w:spacing w:after="120" w:line="480" w:lineRule="auto"/>
    </w:pPr>
    <w:rPr>
      <w:lang w:val="en-US"/>
    </w:rPr>
  </w:style>
  <w:style w:type="character" w:styleId="843">
    <w:name w:val="Основной текст с отступом 2 Знак"/>
    <w:next w:val="843"/>
    <w:link w:val="84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Style8"/>
    <w:basedOn w:val="830"/>
    <w:next w:val="844"/>
    <w:link w:val="830"/>
    <w:pPr>
      <w:widowControl w:val="off"/>
    </w:pPr>
  </w:style>
  <w:style w:type="paragraph" w:styleId="845">
    <w:name w:val="Абзац списка"/>
    <w:basedOn w:val="830"/>
    <w:next w:val="845"/>
    <w:link w:val="830"/>
    <w:qFormat/>
    <w:pPr>
      <w:ind w:left="708"/>
    </w:pPr>
  </w:style>
  <w:style w:type="paragraph" w:styleId="846">
    <w:name w:val="Обычный (веб)"/>
    <w:basedOn w:val="830"/>
    <w:next w:val="846"/>
    <w:link w:val="830"/>
    <w:uiPriority w:val="99"/>
    <w:pPr>
      <w:spacing w:before="100" w:beforeAutospacing="1" w:after="100" w:afterAutospacing="1"/>
    </w:pPr>
  </w:style>
  <w:style w:type="paragraph" w:styleId="847">
    <w:name w:val="Текст выноски"/>
    <w:basedOn w:val="830"/>
    <w:next w:val="847"/>
    <w:link w:val="84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8">
    <w:name w:val="Текст выноски Знак"/>
    <w:next w:val="848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9">
    <w:name w:val="Верхний колонтитул"/>
    <w:basedOn w:val="830"/>
    <w:next w:val="849"/>
    <w:link w:val="85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0">
    <w:name w:val="Верхний колонтитул Знак"/>
    <w:next w:val="850"/>
    <w:link w:val="84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Нижний колонтитул"/>
    <w:basedOn w:val="830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2">
    <w:name w:val="Нижний колонтитул Знак"/>
    <w:next w:val="852"/>
    <w:link w:val="8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ConsPlusNonformat"/>
    <w:next w:val="853"/>
    <w:link w:val="830"/>
    <w:uiPriority w:val="99"/>
    <w:rPr>
      <w:rFonts w:ascii="Courier New" w:hAnsi="Courier New" w:cs="Courier New"/>
      <w:lang w:val="ru-RU" w:eastAsia="en-US" w:bidi="ar-SA"/>
    </w:rPr>
  </w:style>
  <w:style w:type="paragraph" w:styleId="854">
    <w:name w:val="ConsPlusCell"/>
    <w:next w:val="854"/>
    <w:link w:val="830"/>
    <w:uiPriority w:val="99"/>
    <w:rPr>
      <w:rFonts w:ascii="Arial" w:hAnsi="Arial" w:cs="Arial"/>
      <w:lang w:val="ru-RU" w:eastAsia="en-US" w:bidi="ar-SA"/>
    </w:rPr>
  </w:style>
  <w:style w:type="paragraph" w:styleId="855">
    <w:name w:val="марк список 1"/>
    <w:basedOn w:val="830"/>
    <w:next w:val="855"/>
    <w:link w:val="830"/>
    <w:pPr>
      <w:jc w:val="both"/>
      <w:spacing w:before="120" w:after="120"/>
      <w:tabs>
        <w:tab w:val="left" w:pos="360" w:leader="none"/>
      </w:tabs>
    </w:pPr>
    <w:rPr>
      <w:szCs w:val="20"/>
      <w:lang w:eastAsia="ar-SA"/>
    </w:rPr>
  </w:style>
  <w:style w:type="character" w:styleId="856">
    <w:name w:val="Заголовок 1 Знак"/>
    <w:next w:val="856"/>
    <w:link w:val="831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57">
    <w:name w:val="Ориентир"/>
    <w:basedOn w:val="830"/>
    <w:next w:val="830"/>
    <w:link w:val="830"/>
    <w:pPr>
      <w:ind w:firstLine="709"/>
      <w:jc w:val="both"/>
    </w:pPr>
    <w:rPr>
      <w:sz w:val="20"/>
      <w:szCs w:val="20"/>
    </w:rPr>
  </w:style>
  <w:style w:type="paragraph" w:styleId="858">
    <w:name w:val="ConsPlusTitle"/>
    <w:next w:val="858"/>
    <w:link w:val="83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59">
    <w:name w:val="Знак3"/>
    <w:basedOn w:val="830"/>
    <w:next w:val="859"/>
    <w:link w:val="830"/>
    <w:uiPriority w:val="99"/>
    <w:pPr>
      <w:spacing w:after="160" w:line="240" w:lineRule="exact"/>
    </w:pPr>
    <w:rPr>
      <w:rFonts w:ascii="Verdana" w:hAnsi="Verdana" w:eastAsia="SimSun" w:cs="Verdana"/>
      <w:sz w:val="20"/>
      <w:szCs w:val="20"/>
      <w:lang w:val="en-US" w:eastAsia="en-US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FR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1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64" w:customStyle="1">
    <w:name w:val="Гипертекстовая ссылка"/>
    <w:basedOn w:val="740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zdr15</dc:creator>
  <cp:revision>9</cp:revision>
  <dcterms:created xsi:type="dcterms:W3CDTF">2022-10-20T12:38:00Z</dcterms:created>
  <dcterms:modified xsi:type="dcterms:W3CDTF">2024-11-21T06:56:02Z</dcterms:modified>
  <cp:version>917504</cp:version>
</cp:coreProperties>
</file>