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42"/>
          <w:szCs w:val="42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42"/>
          <w:szCs w:val="4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5150" cy="730250"/>
                <wp:effectExtent l="0" t="0" r="6350" b="0"/>
                <wp:docPr id="1" name="Рисунок 3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-113" t="-85" r="-111" b="-84"/>
                        <a:stretch/>
                      </pic:blipFill>
                      <pic:spPr bwMode="auto">
                        <a:xfrm>
                          <a:off x="0" y="0"/>
                          <a:ext cx="565149" cy="730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.5pt;height:57.5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42"/>
          <w:szCs w:val="42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42"/>
          <w:szCs w:val="42"/>
          <w:lang w:eastAsia="ru-RU"/>
        </w:rPr>
        <w:t xml:space="preserve">Администрация города Льгова</w:t>
      </w:r>
      <w:r/>
    </w:p>
    <w:p>
      <w:pPr>
        <w:numPr>
          <w:ilvl w:val="0"/>
          <w:numId w:val="1"/>
        </w:num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42"/>
          <w:szCs w:val="42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42"/>
          <w:szCs w:val="42"/>
          <w:lang w:eastAsia="ru-RU"/>
        </w:rPr>
        <w:t xml:space="preserve">Курской области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  <w:szCs w:val="27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40"/>
          <w:szCs w:val="40"/>
          <w:lang w:eastAsia="ru-RU"/>
        </w:rPr>
        <w:t xml:space="preserve">ПОСТАНОВЛЕНИЕ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  <w:szCs w:val="27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7"/>
          <w:szCs w:val="27"/>
          <w:lang w:eastAsia="ru-RU"/>
        </w:rPr>
        <w:t xml:space="preserve">от 26.08.2024  № 1140                            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Об утверждении Порядка принятия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решения о проведении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капитального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ремонта общего имущества в 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многоквартирном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доме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 в случае возникновения аварии,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иных чрезвычайных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ситуаций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природного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 и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техногенного характера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 соответствии с частью 6 статьи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189 Жилищного кодекса Российской Федерации и статьей 15.1 Закона Курской области от 22 августа 2013 г. N 63-ЗКО "О вопросах организации проведения капитального ремонта общего имущества в многоквартирных домах, расположенных на территории Курской области" </w:t>
      </w:r>
      <w:r/>
    </w:p>
    <w:p>
      <w:pPr>
        <w:ind w:firstLine="720"/>
        <w:jc w:val="center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eastAsia="zh-CN"/>
        </w:rPr>
      </w:pPr>
      <w:r>
        <w:rPr>
          <w:rFonts w:ascii="Times New Roman" w:hAnsi="Times New Roman" w:cs="Times New Roman" w:eastAsia="Calibri"/>
          <w:sz w:val="28"/>
          <w:szCs w:val="28"/>
          <w:lang w:eastAsia="zh-CN"/>
        </w:rPr>
        <w:t xml:space="preserve">Администрация города Льгова  Курской области ПОСТАНОВЛЯЕТ:</w:t>
      </w:r>
      <w:r/>
    </w:p>
    <w:p>
      <w:pPr>
        <w:ind w:firstLine="720"/>
        <w:jc w:val="center"/>
        <w:spacing w:lineRule="auto" w:line="240" w:after="0"/>
        <w:rPr>
          <w:rFonts w:ascii="Times New Roman" w:hAnsi="Times New Roman" w:cs="Times New Roman" w:eastAsia="Calibri"/>
          <w:sz w:val="28"/>
          <w:szCs w:val="28"/>
          <w:lang w:eastAsia="zh-CN"/>
        </w:rPr>
      </w:pPr>
      <w:r>
        <w:rPr>
          <w:rFonts w:ascii="Times New Roman" w:hAnsi="Times New Roman" w:cs="Times New Roman" w:eastAsia="Calibri"/>
          <w:sz w:val="28"/>
          <w:szCs w:val="28"/>
          <w:lang w:eastAsia="zh-CN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Утвердить прилагаемый Порядок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pacing w:val="-4"/>
          <w:sz w:val="28"/>
          <w:szCs w:val="28"/>
          <w:lang w:bidi="en-US" w:eastAsia="zh-CN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2.  </w:t>
      </w:r>
      <w:r>
        <w:rPr>
          <w:rFonts w:ascii="Times New Roman" w:hAnsi="Times New Roman" w:cs="Times New Roman" w:eastAsia="Calibri"/>
          <w:color w:val="000000"/>
          <w:spacing w:val="-4"/>
          <w:sz w:val="28"/>
          <w:szCs w:val="28"/>
          <w:lang w:bidi="en-US" w:eastAsia="zh-CN"/>
        </w:rPr>
        <w:t xml:space="preserve">Настоящее постановление вступает в силу со дня его подписания.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pacing w:val="-4"/>
          <w:sz w:val="28"/>
          <w:szCs w:val="28"/>
          <w:lang w:bidi="en-US" w:eastAsia="zh-CN"/>
        </w:rPr>
      </w:pPr>
      <w:r>
        <w:rPr>
          <w:rFonts w:ascii="Times New Roman" w:hAnsi="Times New Roman" w:cs="Times New Roman" w:eastAsia="Calibri"/>
          <w:color w:val="000000"/>
          <w:spacing w:val="-4"/>
          <w:sz w:val="28"/>
          <w:szCs w:val="28"/>
          <w:lang w:bidi="en-US" w:eastAsia="zh-CN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pacing w:val="-4"/>
          <w:sz w:val="28"/>
          <w:szCs w:val="28"/>
          <w:lang w:bidi="en-US" w:eastAsia="zh-CN"/>
        </w:rPr>
      </w:pPr>
      <w:r>
        <w:rPr>
          <w:rFonts w:ascii="Times New Roman" w:hAnsi="Times New Roman" w:cs="Times New Roman" w:eastAsia="Calibri"/>
          <w:color w:val="000000"/>
          <w:spacing w:val="-4"/>
          <w:sz w:val="28"/>
          <w:szCs w:val="28"/>
          <w:lang w:bidi="en-US" w:eastAsia="zh-CN"/>
        </w:rPr>
      </w:r>
      <w:r/>
    </w:p>
    <w:p>
      <w:pPr>
        <w:spacing w:lineRule="auto" w:line="240" w:after="0"/>
        <w:rPr>
          <w:rFonts w:ascii="Times New Roman" w:hAnsi="Times New Roman" w:cs="Times New Roman" w:eastAsia="Calibri"/>
          <w:color w:val="000000"/>
          <w:spacing w:val="-4"/>
          <w:sz w:val="28"/>
          <w:szCs w:val="28"/>
          <w:lang w:bidi="en-US" w:eastAsia="zh-CN"/>
        </w:rPr>
      </w:pPr>
      <w:r>
        <w:rPr>
          <w:rFonts w:ascii="Times New Roman" w:hAnsi="Times New Roman" w:cs="Times New Roman" w:eastAsia="Calibri"/>
          <w:color w:val="000000"/>
          <w:spacing w:val="-4"/>
          <w:sz w:val="28"/>
          <w:szCs w:val="28"/>
          <w:lang w:bidi="en-US" w:eastAsia="zh-CN"/>
        </w:rPr>
        <w:t xml:space="preserve">Глава города Льгова                                                                              А.С. </w:t>
      </w:r>
      <w:r>
        <w:rPr>
          <w:rFonts w:ascii="Times New Roman" w:hAnsi="Times New Roman" w:cs="Times New Roman" w:eastAsia="Calibri"/>
          <w:color w:val="000000"/>
          <w:spacing w:val="-4"/>
          <w:sz w:val="28"/>
          <w:szCs w:val="28"/>
          <w:lang w:bidi="en-US" w:eastAsia="zh-CN"/>
        </w:rPr>
        <w:t xml:space="preserve">Клемешов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постановлением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города Льгова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Курской области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от 26 августа 2024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№1140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ПОРЯДОК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ПРИНЯТИЯ РЕШЕНИЯ О ПРОВЕДЕНИИ КАПИТАЛЬНОГО РЕМОНТА ОБЩЕГО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ИМУЩЕСТВА В МНОГОКВАРТИРНОМ ДОМЕ В СЛУЧАЕ ВОЗНИКНОВЕНИЯ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АВАРИИ, ИНЫХ ЧРЕЗВЫЧАЙНЫХ СИТУАЦИЙ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ПРИРОДНОГО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ИЛИ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ТЕХНОГЕННОГО ХАРАКТЕРА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Lucida Console" w:hAnsi="Lucida Console" w:cs="Times New Roman" w:eastAsia="Times New Roman"/>
          <w:color w:val="000000"/>
          <w:sz w:val="18"/>
          <w:szCs w:val="18"/>
          <w:lang w:eastAsia="ru-RU"/>
        </w:rPr>
        <w:t xml:space="preserve"> 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Настоящий Порядок определяет условия, процедуру и сроки принятия решения о проведении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 капи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тального ремонта многоквартирных домов Курской области (далее - региональный оператор), в случае возникновения аварии, иных чрезвычайных ситуаций природного или техногенного характера, если собственники помещений в многоквартирном доме не приняли решения 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проведении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капитального ремонта общего имущества в этом многоквартирном доме.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2. В случае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если собственники помещений в м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ногоквартирном доме не приняли решения о проведении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капитального ремонта общего имущества в многоквартирном доме в течение 3 календарных дней со дня возникновения аварии, иных чрезвычайных ситуаций природного или техногенного характера, орган местного самоуправления, на территории которого находится данный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многоквартирный дом, в течение 3 рабочих дней со дня истечения указанных 3 календарных дней направляет региональному оператору обращение о проведении капитального ремонта общего имущества указанного многоквартирного дома с приложением следующих документов: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1) копия решения о введении режима чрезвычайной ситуации в случае введения чрезвычайной ситуации;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2) копия акта осмотра технического состояния многоквартирного дома;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3) технический паспорт многоквартирного дома;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4) дефектные ведомости по видам услуг и (или) работ, составленные лицом, осуществляющим управление многоквартирным домом или оказывающим услуги и (или) выполняющим работы по содержанию и ремонту многоквартирного дома, согласованные уполномоченн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ым представителем органа местного самоуправления, в объемах, необходимых для ликвидации последствий, возникших в случае аварии, иных чрезвычайных ситуаций природного или техногенного характера вследствие чрезвычайной ситуации (далее - дефектные ведомости);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копия решения органа местного самоуправления о назначении лица, уполномоченного участвовать в приемке оказанных услуг и (или) выполненных работ по капитальному ремонту общего имущества в многоквартирном доме, в том числе подписывать соответствующие акты.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 Региональный оператор регистрирует в специальном журнале в день поступления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документы, указанные в пункте 2 настоящего Порядка, и в течение 2 рабочих дней со дня их регистрации проверяет указанные документы и принимает решение о проведении капитального ремонта общего имущества в многоквартирном доме или об отказе в его проведении.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4. Решение об отказе в проведении капитального ремонта общего имущества в многоквартирном доме за счет средств регионального оператора принимается региональным оператором в следующих случаях: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1) непредставление или представление не в полном объеме документов, указанных в пункте 2 настоящего Порядка;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2) работы и (или) услуги, предусмотренные в дефектных ведомостях, не включены в перечень услуг и (или) работ по капитальному ремонту общего имущества в многоквартирных дома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х, определенный частью 1 статьи 166 Жилищного кодекса Российской Федерации и статьей 14 Закона Курской области от 22 августа 2013 г. N 63-ЗКО "О вопросах организации проведения капитального ремонта общего имущества в многоквартирных домах, расположенных на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территории Курской области".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5. Решение об отказе в проведении капитального ремонта общего имущества в многоквартирном доме за счет средств регионального оператора направляется в адрес органа местного самоуправления в течение 2 рабочих дней со дня его принятия.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6. 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Капитальный ремонт общего имущества в многоквартирном доме в случае возникновения аварии, иных чрезвычайных ситуаций природного или техногенного характера осуществляется за счет средств регионального оператора, определенных статьей 185 Жилищ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ного кодекса Российской Федерации, статьей 22 Закона Курской области от 22 августа 2013 г. N 63-ЗКО "О вопросах организации проведения капитального ремонта общего имущества в многоквартирных домах, расположенных на территории Курской области", определяющих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обеспечение финансовой устойчивости деятельности регионального оператора.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7. 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случае не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достаточности средств регионального оператора для проведения капитального ремонта общего имущества в многоквартирном доме при возникновении аварии, иных чрезвычайных ситуаций природного или техногенного характера собственники помещений в многоквартирном до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ме и (или) орган местного самоуправления имеют право определить иные не запрещенные законом источники финансирования проведения капитального ремонта общего имущества в многоквартирном доме при возникновении аварии, иных чрезвычайных ситуаций природного или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техногенного характера.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8. Проведение капитального ремонта общего имущества в многоквартирном доме в случае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возникновения аварии, иных чрезвычайных ситуаций природного или техногенного характера учитывается при ежегодной актуализации Региональной программы капитального ремонта общего имущества в многоквартирных домах, расположенных на территории Курской области.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Console">
    <w:panose1 w:val="020B060904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5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4"/>
    <w:next w:val="814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5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4"/>
    <w:next w:val="814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5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4"/>
    <w:next w:val="81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5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5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5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5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5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5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14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basedOn w:val="814"/>
    <w:next w:val="814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6">
    <w:name w:val="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7">
    <w:name w:val="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8">
    <w:name w:val="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9">
    <w:name w:val="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0">
    <w:name w:val="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1">
    <w:name w:val="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2">
    <w:name w:val="Bordered &amp; 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3">
    <w:name w:val="Bordered &amp; 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4">
    <w:name w:val="Bordered &amp; 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5">
    <w:name w:val="Bordered &amp; 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6">
    <w:name w:val="Bordered &amp; 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7">
    <w:name w:val="Bordered &amp; 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8">
    <w:name w:val="Bordered &amp; 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9">
    <w:name w:val="Bordered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revision>4</cp:revision>
  <dcterms:created xsi:type="dcterms:W3CDTF">2024-08-26T08:40:00Z</dcterms:created>
  <dcterms:modified xsi:type="dcterms:W3CDTF">2024-08-26T11:43:56Z</dcterms:modified>
</cp:coreProperties>
</file>